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CEBA1" w14:textId="57B34E30" w:rsidR="00FB23E4" w:rsidRDefault="008B3DB7" w:rsidP="008B3DB7">
      <w:pPr>
        <w:pStyle w:val="Title"/>
      </w:pPr>
      <w:r>
        <w:t xml:space="preserve">Latin America Energy Efficiency </w:t>
      </w:r>
      <w:proofErr w:type="gramStart"/>
      <w:r>
        <w:t>Policy  Online</w:t>
      </w:r>
      <w:proofErr w:type="gramEnd"/>
      <w:r>
        <w:t xml:space="preserve"> Training Week </w:t>
      </w:r>
    </w:p>
    <w:p w14:paraId="14CB6DCB" w14:textId="33101A09" w:rsidR="008B3DB7" w:rsidRPr="008B3DB7" w:rsidRDefault="008B3DB7" w:rsidP="008B3DB7">
      <w:pPr>
        <w:pStyle w:val="Heading1"/>
      </w:pPr>
      <w:r>
        <w:t>Day 3, Indicators and Evaluation</w:t>
      </w:r>
    </w:p>
    <w:p w14:paraId="15839B75" w14:textId="4F80EEA4" w:rsidR="36231F35" w:rsidRDefault="008B3DB7" w:rsidP="003F414C">
      <w:pPr>
        <w:pStyle w:val="Heading2"/>
      </w:pPr>
      <w:r>
        <w:t>Self-study session</w:t>
      </w:r>
      <w:r w:rsidR="003F414C">
        <w:t xml:space="preserve"> answers</w:t>
      </w:r>
      <w:r>
        <w:t xml:space="preserve"> </w:t>
      </w:r>
    </w:p>
    <w:p w14:paraId="1CB40F04" w14:textId="2FD50D72" w:rsidR="36231F35" w:rsidRDefault="36231F35" w:rsidP="36231F35">
      <w:pPr>
        <w:pStyle w:val="Heading1"/>
      </w:pPr>
      <w:r>
        <w:t>Answers</w:t>
      </w:r>
    </w:p>
    <w:p w14:paraId="60482925" w14:textId="3A090F22" w:rsidR="36231F35" w:rsidRPr="004C5C01" w:rsidRDefault="00701EA9" w:rsidP="36231F35">
      <w:pPr>
        <w:spacing w:line="240" w:lineRule="exact"/>
        <w:ind w:left="10"/>
        <w:rPr>
          <w:rFonts w:asciiTheme="minorHAnsi" w:eastAsia="Arial" w:hAnsiTheme="minorHAnsi" w:cstheme="minorHAnsi"/>
          <w:color w:val="000000" w:themeColor="text1"/>
        </w:rPr>
      </w:pPr>
      <w:hyperlink r:id="rId11">
        <w:r w:rsidR="36231F35" w:rsidRPr="004C5C01">
          <w:rPr>
            <w:rStyle w:val="Hyperlink"/>
            <w:rFonts w:asciiTheme="minorHAnsi" w:eastAsia="Arial" w:hAnsiTheme="minorHAnsi" w:cstheme="minorHAnsi"/>
            <w:lang w:val="en-US"/>
          </w:rPr>
          <w:t>Activity 1: Course</w:t>
        </w:r>
      </w:hyperlink>
      <w:r w:rsidR="36231F35" w:rsidRPr="004C5C01">
        <w:rPr>
          <w:rFonts w:asciiTheme="minorHAnsi" w:eastAsia="Arial" w:hAnsiTheme="minorHAnsi" w:cstheme="minorHAnsi"/>
          <w:color w:val="000000" w:themeColor="text1"/>
          <w:lang w:val="en-US"/>
        </w:rPr>
        <w:t xml:space="preserve">  </w:t>
      </w:r>
      <w:hyperlink r:id="rId12" w:anchor="block-v1:InternationalEnergyAgency+EPM1+Open+type@chapter+block@580ace89185148008b328e1ead47e795">
        <w:r w:rsidR="36231F35" w:rsidRPr="004C5C01">
          <w:rPr>
            <w:rStyle w:val="Hyperlink"/>
            <w:rFonts w:asciiTheme="minorHAnsi" w:eastAsia="Arial" w:hAnsiTheme="minorHAnsi" w:cstheme="minorHAnsi"/>
            <w:lang w:val="en-US"/>
          </w:rPr>
          <w:t>Module 1: Why indicators? A Methodological Framework</w:t>
        </w:r>
      </w:hyperlink>
      <w:r w:rsidR="36231F35" w:rsidRPr="004C5C01">
        <w:rPr>
          <w:rFonts w:asciiTheme="minorHAnsi" w:eastAsia="Arial" w:hAnsiTheme="minorHAnsi" w:cstheme="minorHAnsi"/>
          <w:color w:val="000000" w:themeColor="text1"/>
          <w:lang w:val="en-US"/>
        </w:rPr>
        <w:t xml:space="preserve">  </w:t>
      </w:r>
      <w:hyperlink r:id="rId13" w:anchor="block-v1:InternationalEnergyAgency+EPM1+Open+type@sequential+block@03587b281965482aa88ff98a8a5a1212">
        <w:r w:rsidR="36231F35" w:rsidRPr="004C5C01">
          <w:rPr>
            <w:rStyle w:val="Hyperlink"/>
            <w:rFonts w:asciiTheme="minorHAnsi" w:eastAsia="Arial" w:hAnsiTheme="minorHAnsi" w:cstheme="minorHAnsi"/>
            <w:lang w:val="en-US"/>
          </w:rPr>
          <w:t xml:space="preserve">Lesson 2: IEA </w:t>
        </w:r>
      </w:hyperlink>
      <w:hyperlink r:id="rId14" w:anchor="block-v1:InternationalEnergyAgency+EPM1+Open+type@sequential+block@03587b281965482aa88ff98a8a5a1212">
        <w:r w:rsidR="36231F35" w:rsidRPr="004C5C01">
          <w:rPr>
            <w:rStyle w:val="Hyperlink"/>
            <w:rFonts w:asciiTheme="minorHAnsi" w:eastAsia="Arial" w:hAnsiTheme="minorHAnsi" w:cstheme="minorHAnsi"/>
            <w:lang w:val="en-US"/>
          </w:rPr>
          <w:t>pyramidal framework</w:t>
        </w:r>
      </w:hyperlink>
      <w:r w:rsidR="36231F35" w:rsidRPr="004C5C01">
        <w:rPr>
          <w:rFonts w:asciiTheme="minorHAnsi" w:eastAsia="Arial" w:hAnsiTheme="minorHAnsi" w:cstheme="minorHAnsi"/>
          <w:color w:val="000000" w:themeColor="text1"/>
          <w:lang w:val="en-US"/>
        </w:rPr>
        <w:t xml:space="preserve">  Which are the Priority Sectors in Your Country? - </w:t>
      </w:r>
      <w:r w:rsidR="36231F35" w:rsidRPr="004C5C01">
        <w:rPr>
          <w:rFonts w:asciiTheme="minorHAnsi" w:eastAsia="Arial" w:hAnsiTheme="minorHAnsi" w:cstheme="minorHAnsi"/>
          <w:b/>
          <w:bCs/>
          <w:color w:val="000000" w:themeColor="text1"/>
          <w:lang w:val="en-US"/>
        </w:rPr>
        <w:t>No right answer.</w:t>
      </w:r>
    </w:p>
    <w:p w14:paraId="6BE8C3CA" w14:textId="6E0B8348" w:rsidR="36231F35" w:rsidRPr="004C5C01" w:rsidRDefault="00701EA9" w:rsidP="36231F35">
      <w:pPr>
        <w:spacing w:line="240" w:lineRule="exact"/>
        <w:rPr>
          <w:rFonts w:asciiTheme="minorHAnsi" w:eastAsia="Arial" w:hAnsiTheme="minorHAnsi" w:cstheme="minorHAnsi"/>
          <w:color w:val="000000" w:themeColor="text1"/>
          <w:lang w:val="pt-PT"/>
        </w:rPr>
      </w:pPr>
      <w:hyperlink r:id="rId15">
        <w:r w:rsidR="36231F35" w:rsidRPr="004C5C01">
          <w:rPr>
            <w:rStyle w:val="Hyperlink"/>
            <w:rFonts w:asciiTheme="minorHAnsi" w:eastAsia="Arial" w:hAnsiTheme="minorHAnsi" w:cstheme="minorHAnsi"/>
            <w:lang w:val="en-US"/>
          </w:rPr>
          <w:t>Activity 2: Course</w:t>
        </w:r>
      </w:hyperlink>
      <w:r w:rsidR="36231F35" w:rsidRPr="004C5C01">
        <w:rPr>
          <w:rFonts w:asciiTheme="minorHAnsi" w:eastAsia="Arial" w:hAnsiTheme="minorHAnsi" w:cstheme="minorHAnsi"/>
          <w:color w:val="000000" w:themeColor="text1"/>
          <w:lang w:val="en-US"/>
        </w:rPr>
        <w:t xml:space="preserve">  </w:t>
      </w:r>
      <w:hyperlink r:id="rId16" w:anchor="block-v1:InternationalEnergyAgency+EPM1+Open+type@chapter+block@580ace89185148008b328e1ead47e795">
        <w:r w:rsidR="36231F35" w:rsidRPr="004C5C01">
          <w:rPr>
            <w:rStyle w:val="Hyperlink"/>
            <w:rFonts w:asciiTheme="minorHAnsi" w:eastAsia="Arial" w:hAnsiTheme="minorHAnsi" w:cstheme="minorHAnsi"/>
            <w:lang w:val="en-US"/>
          </w:rPr>
          <w:t>Module 1: Why indicators? A Methodological Framework</w:t>
        </w:r>
      </w:hyperlink>
      <w:r w:rsidR="36231F35" w:rsidRPr="004C5C01">
        <w:rPr>
          <w:rFonts w:asciiTheme="minorHAnsi" w:eastAsia="Arial" w:hAnsiTheme="minorHAnsi" w:cstheme="minorHAnsi"/>
          <w:color w:val="000000" w:themeColor="text1"/>
          <w:lang w:val="en-US"/>
        </w:rPr>
        <w:t xml:space="preserve">  </w:t>
      </w:r>
      <w:hyperlink r:id="rId17" w:anchor="block-v1:InternationalEnergyAgency+EPM1+Open+type@sequential+block@03587b281965482aa88ff98a8a5a1212">
        <w:r w:rsidR="36231F35" w:rsidRPr="004C5C01">
          <w:rPr>
            <w:rStyle w:val="Hyperlink"/>
            <w:rFonts w:asciiTheme="minorHAnsi" w:eastAsia="Arial" w:hAnsiTheme="minorHAnsi" w:cstheme="minorHAnsi"/>
            <w:lang w:val="en-US"/>
          </w:rPr>
          <w:t xml:space="preserve">Lesson 2: IEA </w:t>
        </w:r>
      </w:hyperlink>
      <w:hyperlink r:id="rId18" w:anchor="block-v1:InternationalEnergyAgency+EPM1+Open+type@sequential+block@03587b281965482aa88ff98a8a5a1212">
        <w:r w:rsidR="36231F35" w:rsidRPr="004C5C01">
          <w:rPr>
            <w:rStyle w:val="Hyperlink"/>
            <w:rFonts w:asciiTheme="minorHAnsi" w:eastAsia="Arial" w:hAnsiTheme="minorHAnsi" w:cstheme="minorHAnsi"/>
            <w:lang w:val="en-US"/>
          </w:rPr>
          <w:t>pyramidal framework</w:t>
        </w:r>
      </w:hyperlink>
      <w:r w:rsidR="36231F35" w:rsidRPr="004C5C01">
        <w:rPr>
          <w:rFonts w:asciiTheme="minorHAnsi" w:eastAsia="Arial" w:hAnsiTheme="minorHAnsi" w:cstheme="minorHAnsi"/>
          <w:color w:val="000000" w:themeColor="text1"/>
          <w:lang w:val="en-US"/>
        </w:rPr>
        <w:t xml:space="preserve">  Examples of Indicators</w:t>
      </w:r>
    </w:p>
    <w:p w14:paraId="171A9510" w14:textId="1D552869" w:rsidR="36231F35" w:rsidRPr="004C5C01" w:rsidRDefault="36231F35" w:rsidP="36231F35">
      <w:pPr>
        <w:rPr>
          <w:rFonts w:asciiTheme="minorHAnsi" w:hAnsiTheme="minorHAnsi" w:cstheme="minorHAnsi"/>
        </w:rPr>
      </w:pPr>
      <w:r w:rsidRPr="004C5C01">
        <w:rPr>
          <w:rFonts w:asciiTheme="minorHAnsi" w:hAnsiTheme="minorHAnsi" w:cstheme="minorHAnsi"/>
          <w:noProof/>
        </w:rPr>
        <w:drawing>
          <wp:inline distT="0" distB="0" distL="0" distR="0" wp14:anchorId="0EDB67AB" wp14:editId="60723A2C">
            <wp:extent cx="2743200" cy="2508885"/>
            <wp:effectExtent l="0" t="0" r="0" b="0"/>
            <wp:docPr id="1585250477" name="Picture 1585250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743200" cy="2508885"/>
                    </a:xfrm>
                    <a:prstGeom prst="rect">
                      <a:avLst/>
                    </a:prstGeom>
                  </pic:spPr>
                </pic:pic>
              </a:graphicData>
            </a:graphic>
          </wp:inline>
        </w:drawing>
      </w:r>
    </w:p>
    <w:p w14:paraId="4C704B6E" w14:textId="210E1FF7" w:rsidR="36231F35" w:rsidRPr="004C5C01" w:rsidRDefault="00701EA9" w:rsidP="36231F35">
      <w:pPr>
        <w:spacing w:line="240" w:lineRule="exact"/>
        <w:rPr>
          <w:rFonts w:asciiTheme="minorHAnsi" w:eastAsia="Arial" w:hAnsiTheme="minorHAnsi" w:cstheme="minorHAnsi"/>
          <w:color w:val="000000" w:themeColor="text1"/>
        </w:rPr>
      </w:pPr>
      <w:hyperlink r:id="rId20">
        <w:r w:rsidR="36231F35" w:rsidRPr="004C5C01">
          <w:rPr>
            <w:rStyle w:val="Hyperlink"/>
            <w:rFonts w:asciiTheme="minorHAnsi" w:eastAsia="Arial" w:hAnsiTheme="minorHAnsi" w:cstheme="minorHAnsi"/>
            <w:lang w:val="en-US"/>
          </w:rPr>
          <w:t>Activity 3: Course</w:t>
        </w:r>
      </w:hyperlink>
      <w:r w:rsidR="36231F35" w:rsidRPr="004C5C01">
        <w:rPr>
          <w:rFonts w:asciiTheme="minorHAnsi" w:eastAsia="Arial" w:hAnsiTheme="minorHAnsi" w:cstheme="minorHAnsi"/>
          <w:color w:val="000000" w:themeColor="text1"/>
          <w:lang w:val="en-US"/>
        </w:rPr>
        <w:t xml:space="preserve">  </w:t>
      </w:r>
      <w:hyperlink r:id="rId21" w:anchor="block-v1:InternationalEnergyAgency+EPM1+Open+type@chapter+block@580ace89185148008b328e1ead47e795">
        <w:r w:rsidR="36231F35" w:rsidRPr="004C5C01">
          <w:rPr>
            <w:rStyle w:val="Hyperlink"/>
            <w:rFonts w:asciiTheme="minorHAnsi" w:eastAsia="Arial" w:hAnsiTheme="minorHAnsi" w:cstheme="minorHAnsi"/>
            <w:lang w:val="en-US"/>
          </w:rPr>
          <w:t>Module 1: Why indicators? A Methodological Framework</w:t>
        </w:r>
      </w:hyperlink>
      <w:r w:rsidR="36231F35" w:rsidRPr="004C5C01">
        <w:rPr>
          <w:rFonts w:asciiTheme="minorHAnsi" w:eastAsia="Arial" w:hAnsiTheme="minorHAnsi" w:cstheme="minorHAnsi"/>
          <w:color w:val="000000" w:themeColor="text1"/>
          <w:lang w:val="en-US"/>
        </w:rPr>
        <w:t xml:space="preserve">  </w:t>
      </w:r>
      <w:hyperlink r:id="rId22" w:anchor="block-v1:InternationalEnergyAgency+EPM1+Open+type@sequential+block@c1d481c0edc6418e9a6ab1f512963448">
        <w:r w:rsidR="36231F35" w:rsidRPr="004C5C01">
          <w:rPr>
            <w:rStyle w:val="Hyperlink"/>
            <w:rFonts w:asciiTheme="minorHAnsi" w:eastAsia="Arial" w:hAnsiTheme="minorHAnsi" w:cstheme="minorHAnsi"/>
            <w:lang w:val="en-US"/>
          </w:rPr>
          <w:t xml:space="preserve">Discussion </w:t>
        </w:r>
      </w:hyperlink>
      <w:hyperlink r:id="rId23" w:anchor="block-v1:InternationalEnergyAgency+EPM1+Open+type@sequential+block@c1d481c0edc6418e9a6ab1f512963448">
        <w:r w:rsidR="36231F35" w:rsidRPr="004C5C01">
          <w:rPr>
            <w:rStyle w:val="Hyperlink"/>
            <w:rFonts w:asciiTheme="minorHAnsi" w:eastAsia="Arial" w:hAnsiTheme="minorHAnsi" w:cstheme="minorHAnsi"/>
            <w:lang w:val="en-US"/>
          </w:rPr>
          <w:t>forum</w:t>
        </w:r>
      </w:hyperlink>
      <w:r w:rsidR="36231F35" w:rsidRPr="004C5C01">
        <w:rPr>
          <w:rFonts w:asciiTheme="minorHAnsi" w:eastAsia="Arial" w:hAnsiTheme="minorHAnsi" w:cstheme="minorHAnsi"/>
          <w:color w:val="000000" w:themeColor="text1"/>
          <w:lang w:val="en-US"/>
        </w:rPr>
        <w:t xml:space="preserve">  Give us an example from your country - </w:t>
      </w:r>
      <w:r w:rsidR="36231F35" w:rsidRPr="004C5C01">
        <w:rPr>
          <w:rFonts w:asciiTheme="minorHAnsi" w:eastAsia="Arial" w:hAnsiTheme="minorHAnsi" w:cstheme="minorHAnsi"/>
          <w:b/>
          <w:bCs/>
          <w:color w:val="000000" w:themeColor="text1"/>
          <w:lang w:val="en-US"/>
        </w:rPr>
        <w:t>No right answer.</w:t>
      </w:r>
    </w:p>
    <w:p w14:paraId="479197EA" w14:textId="7D75EB4E" w:rsidR="36231F35" w:rsidRPr="004C5C01" w:rsidRDefault="00701EA9" w:rsidP="36231F35">
      <w:pPr>
        <w:spacing w:line="240" w:lineRule="exact"/>
        <w:rPr>
          <w:rFonts w:asciiTheme="minorHAnsi" w:eastAsia="Arial" w:hAnsiTheme="minorHAnsi" w:cstheme="minorHAnsi"/>
          <w:color w:val="000000" w:themeColor="text1"/>
        </w:rPr>
      </w:pPr>
      <w:hyperlink r:id="rId24">
        <w:r w:rsidR="36231F35" w:rsidRPr="004C5C01">
          <w:rPr>
            <w:rStyle w:val="Hyperlink"/>
            <w:rFonts w:asciiTheme="minorHAnsi" w:eastAsia="Arial" w:hAnsiTheme="minorHAnsi" w:cstheme="minorHAnsi"/>
            <w:lang w:val="en-US"/>
          </w:rPr>
          <w:t>Activity 4: Course</w:t>
        </w:r>
      </w:hyperlink>
      <w:r w:rsidR="36231F35" w:rsidRPr="004C5C01">
        <w:rPr>
          <w:rFonts w:asciiTheme="minorHAnsi" w:eastAsia="Arial" w:hAnsiTheme="minorHAnsi" w:cstheme="minorHAnsi"/>
          <w:color w:val="000000" w:themeColor="text1"/>
          <w:lang w:val="en-US"/>
        </w:rPr>
        <w:t xml:space="preserve">  </w:t>
      </w:r>
      <w:hyperlink r:id="rId25" w:anchor="block-v1:InternationalEnergyAgency+EPM1+Open+type@chapter+block@580ace89185148008b328e1ead47e795">
        <w:r w:rsidR="36231F35" w:rsidRPr="004C5C01">
          <w:rPr>
            <w:rStyle w:val="Hyperlink"/>
            <w:rFonts w:asciiTheme="minorHAnsi" w:eastAsia="Arial" w:hAnsiTheme="minorHAnsi" w:cstheme="minorHAnsi"/>
            <w:lang w:val="en-US"/>
          </w:rPr>
          <w:t>Module 1: Why indicators? A Methodological Framework</w:t>
        </w:r>
      </w:hyperlink>
      <w:r w:rsidR="36231F35" w:rsidRPr="004C5C01">
        <w:rPr>
          <w:rFonts w:asciiTheme="minorHAnsi" w:eastAsia="Arial" w:hAnsiTheme="minorHAnsi" w:cstheme="minorHAnsi"/>
          <w:color w:val="000000" w:themeColor="text1"/>
          <w:lang w:val="en-US"/>
        </w:rPr>
        <w:t xml:space="preserve">  </w:t>
      </w:r>
      <w:hyperlink r:id="rId26" w:anchor="block-v1:InternationalEnergyAgency+EPM1+Open+type@sequential+block@c1d481c0edc6418e9a6ab1f512963448">
        <w:r w:rsidR="36231F35" w:rsidRPr="004C5C01">
          <w:rPr>
            <w:rStyle w:val="Hyperlink"/>
            <w:rFonts w:asciiTheme="minorHAnsi" w:eastAsia="Arial" w:hAnsiTheme="minorHAnsi" w:cstheme="minorHAnsi"/>
            <w:lang w:val="en-US"/>
          </w:rPr>
          <w:t xml:space="preserve">Discussion </w:t>
        </w:r>
      </w:hyperlink>
      <w:hyperlink r:id="rId27" w:anchor="block-v1:InternationalEnergyAgency+EPM1+Open+type@sequential+block@c1d481c0edc6418e9a6ab1f512963448">
        <w:r w:rsidR="36231F35" w:rsidRPr="004C5C01">
          <w:rPr>
            <w:rStyle w:val="Hyperlink"/>
            <w:rFonts w:asciiTheme="minorHAnsi" w:eastAsia="Arial" w:hAnsiTheme="minorHAnsi" w:cstheme="minorHAnsi"/>
            <w:lang w:val="en-US"/>
          </w:rPr>
          <w:t>forum</w:t>
        </w:r>
      </w:hyperlink>
      <w:r w:rsidR="36231F35" w:rsidRPr="004C5C01">
        <w:rPr>
          <w:rFonts w:asciiTheme="minorHAnsi" w:eastAsia="Arial" w:hAnsiTheme="minorHAnsi" w:cstheme="minorHAnsi"/>
          <w:color w:val="000000" w:themeColor="text1"/>
          <w:lang w:val="en-US"/>
        </w:rPr>
        <w:t xml:space="preserve">  Sources of data in your country - </w:t>
      </w:r>
      <w:r w:rsidR="36231F35" w:rsidRPr="004C5C01">
        <w:rPr>
          <w:rFonts w:asciiTheme="minorHAnsi" w:eastAsia="Arial" w:hAnsiTheme="minorHAnsi" w:cstheme="minorHAnsi"/>
          <w:b/>
          <w:bCs/>
          <w:color w:val="000000" w:themeColor="text1"/>
          <w:lang w:val="en-US"/>
        </w:rPr>
        <w:t>No right answer.</w:t>
      </w:r>
    </w:p>
    <w:p w14:paraId="7C893FA4" w14:textId="51E24732" w:rsidR="36231F35" w:rsidRPr="004C5C01" w:rsidRDefault="00701EA9" w:rsidP="36231F35">
      <w:pPr>
        <w:pStyle w:val="BodyText"/>
        <w:rPr>
          <w:rFonts w:asciiTheme="minorHAnsi" w:eastAsia="Arial" w:hAnsiTheme="minorHAnsi" w:cstheme="minorHAnsi"/>
          <w:color w:val="000000" w:themeColor="text1"/>
          <w:lang w:val="pt-PT"/>
        </w:rPr>
      </w:pPr>
      <w:hyperlink r:id="rId28">
        <w:r w:rsidR="36231F35" w:rsidRPr="004C5C01">
          <w:rPr>
            <w:rStyle w:val="Hyperlink"/>
            <w:rFonts w:asciiTheme="minorHAnsi" w:eastAsia="Arial" w:hAnsiTheme="minorHAnsi" w:cstheme="minorHAnsi"/>
            <w:lang w:val="en-US"/>
          </w:rPr>
          <w:t>Activity 5: Course</w:t>
        </w:r>
      </w:hyperlink>
      <w:r w:rsidR="36231F35" w:rsidRPr="004C5C01">
        <w:rPr>
          <w:rFonts w:asciiTheme="minorHAnsi" w:eastAsia="Arial" w:hAnsiTheme="minorHAnsi" w:cstheme="minorHAnsi"/>
          <w:color w:val="000000" w:themeColor="text1"/>
          <w:lang w:val="en-US"/>
        </w:rPr>
        <w:t xml:space="preserve">  </w:t>
      </w:r>
      <w:hyperlink r:id="rId29" w:anchor="block-v1:InternationalEnergyAgency+EPM1+Open+type@chapter+block@580ace89185148008b328e1ead47e795">
        <w:r w:rsidR="36231F35" w:rsidRPr="004C5C01">
          <w:rPr>
            <w:rStyle w:val="Hyperlink"/>
            <w:rFonts w:asciiTheme="minorHAnsi" w:eastAsia="Arial" w:hAnsiTheme="minorHAnsi" w:cstheme="minorHAnsi"/>
            <w:lang w:val="en-US"/>
          </w:rPr>
          <w:t xml:space="preserve">Module 1: Why indicators? A Methodological </w:t>
        </w:r>
      </w:hyperlink>
      <w:hyperlink r:id="rId30" w:anchor="block-v1:InternationalEnergyAgency+EPM1+Open+type@chapter+block@580ace89185148008b328e1ead47e795">
        <w:r w:rsidR="36231F35" w:rsidRPr="004C5C01">
          <w:rPr>
            <w:rStyle w:val="Hyperlink"/>
            <w:rFonts w:asciiTheme="minorHAnsi" w:eastAsia="Arial" w:hAnsiTheme="minorHAnsi" w:cstheme="minorHAnsi"/>
            <w:lang w:val="en-US"/>
          </w:rPr>
          <w:t>Framework</w:t>
        </w:r>
      </w:hyperlink>
      <w:r w:rsidR="36231F35" w:rsidRPr="004C5C01">
        <w:rPr>
          <w:rFonts w:asciiTheme="minorHAnsi" w:eastAsia="Arial" w:hAnsiTheme="minorHAnsi" w:cstheme="minorHAnsi"/>
          <w:color w:val="000000" w:themeColor="text1"/>
          <w:lang w:val="en-US"/>
        </w:rPr>
        <w:t xml:space="preserve">  </w:t>
      </w:r>
      <w:hyperlink r:id="rId31" w:anchor="block-v1:InternationalEnergyAgency+EPM1+Open+type@sequential+block@9b45a47d14fd479fb282714dd069b9ea">
        <w:r w:rsidR="36231F35" w:rsidRPr="004C5C01">
          <w:rPr>
            <w:rStyle w:val="Hyperlink"/>
            <w:rFonts w:asciiTheme="minorHAnsi" w:eastAsia="Arial" w:hAnsiTheme="minorHAnsi" w:cstheme="minorHAnsi"/>
            <w:lang w:val="en-US"/>
          </w:rPr>
          <w:t>Assessment test</w:t>
        </w:r>
      </w:hyperlink>
      <w:r w:rsidR="36231F35" w:rsidRPr="004C5C01">
        <w:rPr>
          <w:rFonts w:asciiTheme="minorHAnsi" w:eastAsia="Arial" w:hAnsiTheme="minorHAnsi" w:cstheme="minorHAnsi"/>
          <w:color w:val="000000" w:themeColor="text1"/>
          <w:lang w:val="en-US"/>
        </w:rPr>
        <w:t xml:space="preserve">  </w:t>
      </w:r>
    </w:p>
    <w:p w14:paraId="67C830EE" w14:textId="207588F1" w:rsidR="36231F35" w:rsidRPr="004C5C01" w:rsidRDefault="36231F35" w:rsidP="36231F35">
      <w:pPr>
        <w:pStyle w:val="Heading2"/>
        <w:rPr>
          <w:rFonts w:asciiTheme="minorHAnsi" w:hAnsiTheme="minorHAnsi" w:cstheme="minorHAnsi"/>
          <w:sz w:val="22"/>
          <w:szCs w:val="22"/>
        </w:rPr>
      </w:pPr>
      <w:r w:rsidRPr="004C5C01">
        <w:rPr>
          <w:rFonts w:asciiTheme="minorHAnsi" w:eastAsia="Open Sans" w:hAnsiTheme="minorHAnsi" w:cstheme="minorHAnsi"/>
          <w:bCs/>
          <w:color w:val="474747"/>
          <w:sz w:val="22"/>
          <w:szCs w:val="22"/>
        </w:rPr>
        <w:t>Module 1: Assessment Test</w:t>
      </w:r>
    </w:p>
    <w:p w14:paraId="1D03B45C" w14:textId="7D33C51C"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1. Match the concepts with their definitions (examples)</w:t>
      </w:r>
    </w:p>
    <w:p w14:paraId="4F9B1C4A" w14:textId="799B0CD5"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Delivering more services for the same energy input, or the same services for less energy input. Often a function of technological change.</w:t>
      </w:r>
    </w:p>
    <w:p w14:paraId="54E935C7" w14:textId="70F7F389" w:rsidR="36231F35" w:rsidRPr="004C5C01" w:rsidRDefault="36231F35" w:rsidP="36231F35">
      <w:pPr>
        <w:pStyle w:val="ListParagraph"/>
        <w:numPr>
          <w:ilvl w:val="0"/>
          <w:numId w:val="1"/>
        </w:numPr>
        <w:rPr>
          <w:rFonts w:asciiTheme="minorHAnsi" w:eastAsia="Open Sans" w:hAnsiTheme="minorHAnsi" w:cstheme="minorHAnsi"/>
          <w:color w:val="222222"/>
        </w:rPr>
      </w:pPr>
      <w:r w:rsidRPr="004C5C01">
        <w:rPr>
          <w:rFonts w:asciiTheme="minorHAnsi" w:eastAsia="Open Sans" w:hAnsiTheme="minorHAnsi" w:cstheme="minorHAnsi"/>
          <w:color w:val="222222"/>
        </w:rPr>
        <w:lastRenderedPageBreak/>
        <w:t>Energy efficiency improvement</w:t>
      </w:r>
    </w:p>
    <w:p w14:paraId="5477EF82" w14:textId="489CDBDD" w:rsidR="36231F35" w:rsidRPr="004C5C01" w:rsidRDefault="36231F35" w:rsidP="36231F35">
      <w:pPr>
        <w:pStyle w:val="ListParagraph"/>
        <w:numPr>
          <w:ilvl w:val="0"/>
          <w:numId w:val="1"/>
        </w:numPr>
        <w:rPr>
          <w:rFonts w:asciiTheme="minorHAnsi" w:eastAsia="Open Sans" w:hAnsiTheme="minorHAnsi" w:cstheme="minorHAnsi"/>
          <w:color w:val="222222"/>
        </w:rPr>
      </w:pPr>
      <w:r w:rsidRPr="004C5C01">
        <w:rPr>
          <w:rFonts w:asciiTheme="minorHAnsi" w:eastAsia="Open Sans" w:hAnsiTheme="minorHAnsi" w:cstheme="minorHAnsi"/>
          <w:color w:val="222222"/>
        </w:rPr>
        <w:t>Energy intensity of the economy</w:t>
      </w:r>
    </w:p>
    <w:p w14:paraId="4483B9F6" w14:textId="2AE24C4F" w:rsidR="36231F35" w:rsidRPr="004C5C01" w:rsidRDefault="36231F35" w:rsidP="36231F35">
      <w:pPr>
        <w:pStyle w:val="ListParagraph"/>
        <w:numPr>
          <w:ilvl w:val="0"/>
          <w:numId w:val="1"/>
        </w:numPr>
        <w:rPr>
          <w:rFonts w:asciiTheme="minorHAnsi" w:eastAsia="Open Sans" w:hAnsiTheme="minorHAnsi" w:cstheme="minorHAnsi"/>
          <w:color w:val="222222"/>
        </w:rPr>
      </w:pPr>
      <w:r w:rsidRPr="004C5C01">
        <w:rPr>
          <w:rFonts w:asciiTheme="minorHAnsi" w:eastAsia="Open Sans" w:hAnsiTheme="minorHAnsi" w:cstheme="minorHAnsi"/>
          <w:color w:val="222222"/>
        </w:rPr>
        <w:t>Energy conservation</w:t>
      </w:r>
    </w:p>
    <w:p w14:paraId="58A9D5D3" w14:textId="3CFCFB3A" w:rsidR="36231F35" w:rsidRPr="004C5C01" w:rsidRDefault="36231F35" w:rsidP="36231F35">
      <w:pPr>
        <w:rPr>
          <w:rFonts w:asciiTheme="minorHAnsi" w:hAnsiTheme="minorHAnsi" w:cstheme="minorHAnsi"/>
        </w:rPr>
      </w:pPr>
      <w:r w:rsidRPr="004C5C01">
        <w:rPr>
          <w:rFonts w:asciiTheme="minorHAnsi" w:eastAsia="Georgia" w:hAnsiTheme="minorHAnsi" w:cstheme="minorHAnsi"/>
          <w:color w:val="474747"/>
        </w:rPr>
        <w:t>2. Why are energy balances insufficient to monitor and assess energy efficiency'? Select all that apply.</w:t>
      </w:r>
    </w:p>
    <w:p w14:paraId="7E3CD08C" w14:textId="7BBA1C8D"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They do not show detailed energy data within economic sectors</w:t>
      </w:r>
    </w:p>
    <w:p w14:paraId="1C454704" w14:textId="446F1B9F"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They do not account for the impact of various factors (</w:t>
      </w:r>
      <w:proofErr w:type="gramStart"/>
      <w:r w:rsidRPr="004C5C01">
        <w:rPr>
          <w:rFonts w:asciiTheme="minorHAnsi" w:eastAsia="Open Sans" w:hAnsiTheme="minorHAnsi" w:cstheme="minorHAnsi"/>
          <w:b/>
          <w:bCs/>
          <w:color w:val="313131"/>
        </w:rPr>
        <w:t>e.g.</w:t>
      </w:r>
      <w:proofErr w:type="gramEnd"/>
      <w:r w:rsidRPr="004C5C01">
        <w:rPr>
          <w:rFonts w:asciiTheme="minorHAnsi" w:eastAsia="Open Sans" w:hAnsiTheme="minorHAnsi" w:cstheme="minorHAnsi"/>
          <w:b/>
          <w:bCs/>
          <w:color w:val="313131"/>
        </w:rPr>
        <w:t xml:space="preserve"> technological, behavioural) of energy consumption</w:t>
      </w:r>
    </w:p>
    <w:p w14:paraId="494F5775" w14:textId="67F8E3F5"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They give data on the energy entering, exiting and consumed in a country but not on the way it is being used</w:t>
      </w:r>
    </w:p>
    <w:p w14:paraId="21B85441" w14:textId="1B13118A"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3. Energy efficiency indicators are a mathematical function of energy consumption data and activity data.</w:t>
      </w:r>
    </w:p>
    <w:p w14:paraId="1723F67C" w14:textId="07F08197"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True</w:t>
      </w:r>
    </w:p>
    <w:p w14:paraId="0F196781" w14:textId="48E10998"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False</w:t>
      </w:r>
    </w:p>
    <w:p w14:paraId="2630E30D" w14:textId="632ADE8E"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4. Which are the 4 key energy end-use sectors:</w:t>
      </w:r>
    </w:p>
    <w:p w14:paraId="09111285" w14:textId="07EE9496"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Industry, transport, services, building sector</w:t>
      </w:r>
    </w:p>
    <w:p w14:paraId="317CE558" w14:textId="59095371"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Transport, services, agriculture, residential sector</w:t>
      </w:r>
    </w:p>
    <w:p w14:paraId="359B8D87" w14:textId="4E869B09"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Services, industry, transport and residential sector</w:t>
      </w:r>
    </w:p>
    <w:p w14:paraId="4548637F" w14:textId="4234A08E"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Industry, tourism, transport and services sector</w:t>
      </w:r>
    </w:p>
    <w:p w14:paraId="20A06DF7" w14:textId="771A51A8"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5. Rank the levels of disaggregation of the energy consumption indicators:</w:t>
      </w:r>
      <w:r w:rsidRPr="004C5C01">
        <w:rPr>
          <w:rFonts w:asciiTheme="minorHAnsi" w:eastAsia="Open Sans" w:hAnsiTheme="minorHAnsi" w:cstheme="minorHAnsi"/>
          <w:b w:val="0"/>
          <w:color w:val="222222"/>
          <w:sz w:val="22"/>
          <w:szCs w:val="22"/>
        </w:rPr>
        <w:t xml:space="preserve">           </w:t>
      </w:r>
    </w:p>
    <w:p w14:paraId="49E4DCA1" w14:textId="384788D4"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Total final consumption of the economy           </w:t>
      </w:r>
    </w:p>
    <w:p w14:paraId="7CBC6D2F" w14:textId="36F6823A"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Energy consumption per economic sector</w:t>
      </w:r>
    </w:p>
    <w:p w14:paraId="62ABE062" w14:textId="40A252D9"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Energy consumption of various end-uses (</w:t>
      </w:r>
      <w:proofErr w:type="gramStart"/>
      <w:r w:rsidRPr="004C5C01">
        <w:rPr>
          <w:rFonts w:asciiTheme="minorHAnsi" w:eastAsia="Open Sans" w:hAnsiTheme="minorHAnsi" w:cstheme="minorHAnsi"/>
          <w:color w:val="222222"/>
        </w:rPr>
        <w:t>i.e.</w:t>
      </w:r>
      <w:proofErr w:type="gramEnd"/>
      <w:r w:rsidRPr="004C5C01">
        <w:rPr>
          <w:rFonts w:asciiTheme="minorHAnsi" w:eastAsia="Open Sans" w:hAnsiTheme="minorHAnsi" w:cstheme="minorHAnsi"/>
          <w:color w:val="222222"/>
        </w:rPr>
        <w:t xml:space="preserve"> heating, cooking, etc.)</w:t>
      </w:r>
    </w:p>
    <w:p w14:paraId="2A5CAB99" w14:textId="50AE1532"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Energy consumption per unit of activity</w:t>
      </w:r>
    </w:p>
    <w:p w14:paraId="099B8229" w14:textId="2688A546"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6. The IEA indicators pyramid is a conceptual model that organises energy efficiency indicators in a way that they can be understood more easily and used by policy makers and other stakeholders. Indicators are placed in a hierarchical structure: from most detailed at the top of the pyramid, to least detailed at the bottom.</w:t>
      </w:r>
    </w:p>
    <w:p w14:paraId="42800BE8" w14:textId="19A88A25"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True</w:t>
      </w:r>
    </w:p>
    <w:p w14:paraId="59C09DC6" w14:textId="1ABC33C4"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False</w:t>
      </w:r>
    </w:p>
    <w:p w14:paraId="198F8167" w14:textId="56CD37DC"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lastRenderedPageBreak/>
        <w:t>7. Which are the four approaches to data collection, as recommended by the IEA?</w:t>
      </w:r>
    </w:p>
    <w:p w14:paraId="3A5EBBC9" w14:textId="44E25B2A"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Surveying</w:t>
      </w:r>
    </w:p>
    <w:p w14:paraId="53A84857" w14:textId="7D4AFD28"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Interviewing</w:t>
      </w:r>
    </w:p>
    <w:p w14:paraId="6002AD8C" w14:textId="4B6F23B9"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Administrative sourcing</w:t>
      </w:r>
    </w:p>
    <w:p w14:paraId="3FA95236" w14:textId="2170087A"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Measuring</w:t>
      </w:r>
    </w:p>
    <w:p w14:paraId="6D70B849" w14:textId="2883A944"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Reflection and observation</w:t>
      </w:r>
    </w:p>
    <w:p w14:paraId="207DAE50" w14:textId="7524A777"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Modelling</w:t>
      </w:r>
    </w:p>
    <w:p w14:paraId="7CCBFAB6" w14:textId="716589B1" w:rsidR="36231F35" w:rsidRPr="004C5C01" w:rsidRDefault="36231F35" w:rsidP="36231F35">
      <w:pPr>
        <w:pStyle w:val="BodyText"/>
        <w:rPr>
          <w:rFonts w:asciiTheme="minorHAnsi" w:eastAsia="Open Sans" w:hAnsiTheme="minorHAnsi" w:cstheme="minorHAnsi"/>
          <w:b/>
          <w:bCs/>
          <w:color w:val="474747"/>
        </w:rPr>
      </w:pPr>
    </w:p>
    <w:p w14:paraId="068E4C22" w14:textId="18CDC382" w:rsidR="36231F35" w:rsidRPr="004C5C01" w:rsidRDefault="00701EA9" w:rsidP="36231F35">
      <w:pPr>
        <w:spacing w:line="240" w:lineRule="exact"/>
        <w:ind w:left="10"/>
        <w:rPr>
          <w:rFonts w:asciiTheme="minorHAnsi" w:eastAsia="Arial" w:hAnsiTheme="minorHAnsi" w:cstheme="minorHAnsi"/>
          <w:color w:val="000000" w:themeColor="text1"/>
          <w:lang w:val="pt-PT"/>
        </w:rPr>
      </w:pPr>
      <w:hyperlink r:id="rId32">
        <w:r w:rsidR="36231F35" w:rsidRPr="004C5C01">
          <w:rPr>
            <w:rStyle w:val="Hyperlink"/>
            <w:rFonts w:asciiTheme="minorHAnsi" w:eastAsia="Arial" w:hAnsiTheme="minorHAnsi" w:cstheme="minorHAnsi"/>
            <w:lang w:val="en-US"/>
          </w:rPr>
          <w:t>Activity 6: Course</w:t>
        </w:r>
      </w:hyperlink>
      <w:r w:rsidR="36231F35" w:rsidRPr="004C5C01">
        <w:rPr>
          <w:rFonts w:asciiTheme="minorHAnsi" w:eastAsia="Arial" w:hAnsiTheme="minorHAnsi" w:cstheme="minorHAnsi"/>
          <w:color w:val="000000" w:themeColor="text1"/>
          <w:lang w:val="en-US"/>
        </w:rPr>
        <w:t xml:space="preserve">  </w:t>
      </w:r>
      <w:hyperlink r:id="rId33" w:anchor="block-v1:InternationalEnergyAgency+EPM1+Open+type@chapter+block@bc3fcc6ece1b40998673e20dd65731c2">
        <w:r w:rsidR="36231F35" w:rsidRPr="004C5C01">
          <w:rPr>
            <w:rStyle w:val="Hyperlink"/>
            <w:rFonts w:asciiTheme="minorHAnsi" w:eastAsia="Arial" w:hAnsiTheme="minorHAnsi" w:cstheme="minorHAnsi"/>
            <w:lang w:val="en-US"/>
          </w:rPr>
          <w:t>Module 2: Developing Policy Relevant Indicators for the Residential Sector</w:t>
        </w:r>
      </w:hyperlink>
      <w:r w:rsidR="36231F35" w:rsidRPr="004C5C01">
        <w:rPr>
          <w:rFonts w:asciiTheme="minorHAnsi" w:eastAsia="Arial" w:hAnsiTheme="minorHAnsi" w:cstheme="minorHAnsi"/>
          <w:color w:val="000000" w:themeColor="text1"/>
          <w:lang w:val="en-US"/>
        </w:rPr>
        <w:t xml:space="preserve">  </w:t>
      </w:r>
      <w:hyperlink r:id="rId34" w:anchor="block-v1:InternationalEnergyAgency+EPM1+Open+type@sequential+block@c74af9db84be4b6cba5a98c331f79423">
        <w:r w:rsidR="36231F35" w:rsidRPr="004C5C01">
          <w:rPr>
            <w:rStyle w:val="Hyperlink"/>
            <w:rFonts w:asciiTheme="minorHAnsi" w:eastAsia="Arial" w:hAnsiTheme="minorHAnsi" w:cstheme="minorHAnsi"/>
            <w:lang w:val="en-US"/>
          </w:rPr>
          <w:t xml:space="preserve">Lesson 1: </w:t>
        </w:r>
      </w:hyperlink>
      <w:hyperlink r:id="rId35" w:anchor="block-v1:InternationalEnergyAgency+EPM1+Open+type@sequential+block@c74af9db84be4b6cba5a98c331f79423">
        <w:r w:rsidR="36231F35" w:rsidRPr="004C5C01">
          <w:rPr>
            <w:rStyle w:val="Hyperlink"/>
            <w:rFonts w:asciiTheme="minorHAnsi" w:eastAsia="Arial" w:hAnsiTheme="minorHAnsi" w:cstheme="minorHAnsi"/>
            <w:lang w:val="en-US"/>
          </w:rPr>
          <w:t>Trends and Drivers in the Residential Sector</w:t>
        </w:r>
      </w:hyperlink>
      <w:r w:rsidR="36231F35" w:rsidRPr="004C5C01">
        <w:rPr>
          <w:rFonts w:asciiTheme="minorHAnsi" w:eastAsia="Arial" w:hAnsiTheme="minorHAnsi" w:cstheme="minorHAnsi"/>
          <w:color w:val="000000" w:themeColor="text1"/>
          <w:lang w:val="en-US"/>
        </w:rPr>
        <w:t xml:space="preserve">  Test your understanding</w:t>
      </w:r>
    </w:p>
    <w:p w14:paraId="6936152F" w14:textId="11BECD7E" w:rsidR="36231F35" w:rsidRPr="004C5C01" w:rsidRDefault="36231F35" w:rsidP="36231F35">
      <w:pPr>
        <w:pStyle w:val="BodyText"/>
        <w:rPr>
          <w:rFonts w:asciiTheme="minorHAnsi" w:eastAsia="Open Sans" w:hAnsiTheme="minorHAnsi" w:cstheme="minorHAnsi"/>
          <w:b/>
          <w:bCs/>
          <w:color w:val="474747"/>
        </w:rPr>
      </w:pPr>
      <w:r w:rsidRPr="004C5C01">
        <w:rPr>
          <w:rFonts w:asciiTheme="minorHAnsi" w:eastAsia="Open Sans" w:hAnsiTheme="minorHAnsi" w:cstheme="minorHAnsi"/>
          <w:b/>
          <w:bCs/>
          <w:color w:val="474747"/>
        </w:rPr>
        <w:t>Module 2: Lesson 1: Test Your Understanding</w:t>
      </w:r>
    </w:p>
    <w:p w14:paraId="0E7A3A72" w14:textId="7581FE4B"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Which indicators should be developed first in the residential sector, in countries with a high share of fossil-fuel use?</w:t>
      </w:r>
    </w:p>
    <w:p w14:paraId="4B5103B9" w14:textId="19BEE2E7"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space and water heating</w:t>
      </w:r>
    </w:p>
    <w:p w14:paraId="3C7B727C" w14:textId="77327C1A"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appliances</w:t>
      </w:r>
    </w:p>
    <w:p w14:paraId="183FD0FE" w14:textId="54678E84" w:rsidR="36231F35" w:rsidRPr="004C5C01" w:rsidRDefault="36231F35" w:rsidP="36231F35">
      <w:pPr>
        <w:spacing w:line="311" w:lineRule="exact"/>
        <w:rPr>
          <w:rFonts w:asciiTheme="minorHAnsi" w:hAnsiTheme="minorHAnsi" w:cstheme="minorHAnsi"/>
        </w:rPr>
      </w:pPr>
      <w:r w:rsidRPr="004C5C01">
        <w:rPr>
          <w:rFonts w:asciiTheme="minorHAnsi" w:eastAsia="Open Sans" w:hAnsiTheme="minorHAnsi" w:cstheme="minorHAnsi"/>
          <w:b/>
          <w:bCs/>
        </w:rPr>
        <w:t>Answer</w:t>
      </w:r>
      <w:r w:rsidRPr="004C5C01">
        <w:rPr>
          <w:rFonts w:asciiTheme="minorHAnsi" w:eastAsia="Open Sans" w:hAnsiTheme="minorHAnsi" w:cstheme="minorHAnsi"/>
        </w:rPr>
        <w:t>: The priority should be to develop indicators for end uses where fossil-fuel is concentrated: mostly space heating, for cold countries, and water heating.</w:t>
      </w:r>
    </w:p>
    <w:p w14:paraId="6B2CBDA3" w14:textId="6DFF58AF" w:rsidR="36231F35" w:rsidRPr="004C5C01" w:rsidRDefault="36231F35" w:rsidP="36231F35">
      <w:pPr>
        <w:jc w:val="center"/>
        <w:rPr>
          <w:rFonts w:asciiTheme="minorHAnsi" w:hAnsiTheme="minorHAnsi" w:cstheme="minorHAnsi"/>
        </w:rPr>
      </w:pPr>
      <w:r w:rsidRPr="004C5C01">
        <w:rPr>
          <w:rFonts w:asciiTheme="minorHAnsi" w:eastAsia="Open Sans" w:hAnsiTheme="minorHAnsi" w:cstheme="minorHAnsi"/>
          <w:color w:val="FFFFFF" w:themeColor="background1"/>
        </w:rPr>
        <w:t>Show Answer</w:t>
      </w:r>
    </w:p>
    <w:p w14:paraId="13A5AB62" w14:textId="664E18C6"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What is the required level of disaggregation for large energy-using appliances for energy efficiency analysis purposes?</w:t>
      </w:r>
    </w:p>
    <w:p w14:paraId="14DFCA24" w14:textId="61A2F7C3"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at the individual appliance level.</w:t>
      </w:r>
    </w:p>
    <w:p w14:paraId="577E8D67" w14:textId="6162A51B"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it can be aggregated together in the appliances category.</w:t>
      </w:r>
    </w:p>
    <w:p w14:paraId="0BDA2208" w14:textId="43E08945" w:rsidR="36231F35" w:rsidRPr="004C5C01" w:rsidRDefault="36231F35" w:rsidP="36231F35">
      <w:pPr>
        <w:spacing w:line="311" w:lineRule="exact"/>
        <w:rPr>
          <w:rFonts w:asciiTheme="minorHAnsi" w:hAnsiTheme="minorHAnsi" w:cstheme="minorHAnsi"/>
        </w:rPr>
      </w:pPr>
      <w:r w:rsidRPr="004C5C01">
        <w:rPr>
          <w:rFonts w:asciiTheme="minorHAnsi" w:eastAsia="Open Sans" w:hAnsiTheme="minorHAnsi" w:cstheme="minorHAnsi"/>
          <w:b/>
          <w:bCs/>
        </w:rPr>
        <w:t>Answer</w:t>
      </w:r>
      <w:r w:rsidRPr="004C5C01">
        <w:rPr>
          <w:rFonts w:asciiTheme="minorHAnsi" w:eastAsia="Open Sans" w:hAnsiTheme="minorHAnsi" w:cstheme="minorHAnsi"/>
        </w:rPr>
        <w:t>: The required level of disaggregation for large energy-using appliances, such as refrigerators, washing machines, and dishwashers, is at the individual appliance level.</w:t>
      </w:r>
    </w:p>
    <w:p w14:paraId="547AAA6C" w14:textId="0672D310" w:rsidR="36231F35" w:rsidRPr="004C5C01" w:rsidRDefault="36231F35" w:rsidP="36231F35">
      <w:pPr>
        <w:jc w:val="center"/>
        <w:rPr>
          <w:rFonts w:asciiTheme="minorHAnsi" w:hAnsiTheme="minorHAnsi" w:cstheme="minorHAnsi"/>
        </w:rPr>
      </w:pPr>
      <w:r w:rsidRPr="004C5C01">
        <w:rPr>
          <w:rFonts w:asciiTheme="minorHAnsi" w:eastAsia="Open Sans" w:hAnsiTheme="minorHAnsi" w:cstheme="minorHAnsi"/>
          <w:color w:val="FFFFFF" w:themeColor="background1"/>
        </w:rPr>
        <w:t>Show Answer</w:t>
      </w:r>
    </w:p>
    <w:p w14:paraId="31AA9805" w14:textId="7689C22A"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To calculate end-use indicators in the residential sector one should use:</w:t>
      </w:r>
    </w:p>
    <w:p w14:paraId="4FD7EAF8" w14:textId="321D5E7A"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total dwellings</w:t>
      </w:r>
    </w:p>
    <w:p w14:paraId="3B8733D2" w14:textId="2EE441B8"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total occupied dwellings</w:t>
      </w:r>
    </w:p>
    <w:p w14:paraId="1C9E7BD4" w14:textId="7384E816" w:rsidR="36231F35" w:rsidRPr="004C5C01" w:rsidRDefault="36231F35" w:rsidP="36231F35">
      <w:pPr>
        <w:spacing w:line="311" w:lineRule="exact"/>
        <w:rPr>
          <w:rFonts w:asciiTheme="minorHAnsi" w:hAnsiTheme="minorHAnsi" w:cstheme="minorHAnsi"/>
        </w:rPr>
      </w:pPr>
      <w:r w:rsidRPr="004C5C01">
        <w:rPr>
          <w:rFonts w:asciiTheme="minorHAnsi" w:eastAsia="Open Sans" w:hAnsiTheme="minorHAnsi" w:cstheme="minorHAnsi"/>
          <w:b/>
          <w:bCs/>
        </w:rPr>
        <w:lastRenderedPageBreak/>
        <w:t>Answer</w:t>
      </w:r>
      <w:r w:rsidRPr="004C5C01">
        <w:rPr>
          <w:rFonts w:asciiTheme="minorHAnsi" w:eastAsia="Open Sans" w:hAnsiTheme="minorHAnsi" w:cstheme="minorHAnsi"/>
        </w:rPr>
        <w:t>: Total occupied dwellings should be used to calculate end-use indicators in the residential sector to avoid distortion in calculations from consumption in dwellings with infrequently used or vacant dwellings.</w:t>
      </w:r>
    </w:p>
    <w:p w14:paraId="57826347" w14:textId="283C2287" w:rsidR="36231F35" w:rsidRPr="004C5C01" w:rsidRDefault="36231F35" w:rsidP="36231F35">
      <w:pPr>
        <w:jc w:val="center"/>
        <w:rPr>
          <w:rFonts w:asciiTheme="minorHAnsi" w:hAnsiTheme="minorHAnsi" w:cstheme="minorHAnsi"/>
        </w:rPr>
      </w:pPr>
      <w:r w:rsidRPr="004C5C01">
        <w:rPr>
          <w:rFonts w:asciiTheme="minorHAnsi" w:eastAsia="Open Sans" w:hAnsiTheme="minorHAnsi" w:cstheme="minorHAnsi"/>
          <w:color w:val="FFFFFF" w:themeColor="background1"/>
        </w:rPr>
        <w:t>how Answer</w:t>
      </w:r>
    </w:p>
    <w:p w14:paraId="01D5C1DB" w14:textId="00A56E57"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Is it generally recommended to make a distinction between urban and rural dwellings?</w:t>
      </w:r>
    </w:p>
    <w:p w14:paraId="15684A99" w14:textId="54EA23FC"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No</w:t>
      </w:r>
    </w:p>
    <w:p w14:paraId="25EA7DA9" w14:textId="09556418"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Yes</w:t>
      </w:r>
    </w:p>
    <w:p w14:paraId="3FCECF17" w14:textId="2669B990" w:rsidR="36231F35" w:rsidRPr="004C5C01" w:rsidRDefault="36231F35" w:rsidP="36231F35">
      <w:pPr>
        <w:spacing w:line="311" w:lineRule="exact"/>
        <w:rPr>
          <w:rFonts w:asciiTheme="minorHAnsi" w:hAnsiTheme="minorHAnsi" w:cstheme="minorHAnsi"/>
        </w:rPr>
      </w:pPr>
      <w:r w:rsidRPr="004C5C01">
        <w:rPr>
          <w:rFonts w:asciiTheme="minorHAnsi" w:eastAsia="Open Sans" w:hAnsiTheme="minorHAnsi" w:cstheme="minorHAnsi"/>
          <w:b/>
          <w:bCs/>
        </w:rPr>
        <w:t>Answer</w:t>
      </w:r>
      <w:r w:rsidRPr="004C5C01">
        <w:rPr>
          <w:rFonts w:asciiTheme="minorHAnsi" w:eastAsia="Open Sans" w:hAnsiTheme="minorHAnsi" w:cstheme="minorHAnsi"/>
        </w:rPr>
        <w:t>: In countries where there is a significant distinction between the type and size of dwellings in rural or urban areas, or where the availability and fuel mix is different, an urban/rural split is recommended if the data is available.</w:t>
      </w:r>
    </w:p>
    <w:p w14:paraId="58D7E973" w14:textId="603E670F" w:rsidR="36231F35" w:rsidRPr="004C5C01" w:rsidRDefault="00701EA9" w:rsidP="36231F35">
      <w:pPr>
        <w:spacing w:line="240" w:lineRule="exact"/>
        <w:ind w:left="10"/>
        <w:rPr>
          <w:rFonts w:asciiTheme="minorHAnsi" w:eastAsia="Arial" w:hAnsiTheme="minorHAnsi" w:cstheme="minorHAnsi"/>
          <w:color w:val="000000" w:themeColor="text1"/>
          <w:lang w:val="pt-PT"/>
        </w:rPr>
      </w:pPr>
      <w:hyperlink r:id="rId36">
        <w:r w:rsidR="36231F35" w:rsidRPr="004C5C01">
          <w:rPr>
            <w:rStyle w:val="Hyperlink"/>
            <w:rFonts w:asciiTheme="minorHAnsi" w:eastAsia="Arial" w:hAnsiTheme="minorHAnsi" w:cstheme="minorHAnsi"/>
            <w:lang w:val="en-US"/>
          </w:rPr>
          <w:t xml:space="preserve">Activity 7: Course  Module 2: Developing Policy Relevant Indicators for the Residential Sector  Lesson 2: </w:t>
        </w:r>
      </w:hyperlink>
      <w:hyperlink r:id="rId37">
        <w:proofErr w:type="spellStart"/>
        <w:r w:rsidR="36231F35" w:rsidRPr="004C5C01">
          <w:rPr>
            <w:rStyle w:val="Hyperlink"/>
            <w:rFonts w:asciiTheme="minorHAnsi" w:eastAsia="Arial" w:hAnsiTheme="minorHAnsi" w:cstheme="minorHAnsi"/>
            <w:lang w:val="en-US"/>
          </w:rPr>
          <w:t>Prioritising</w:t>
        </w:r>
        <w:proofErr w:type="spellEnd"/>
        <w:r w:rsidR="36231F35" w:rsidRPr="004C5C01">
          <w:rPr>
            <w:rStyle w:val="Hyperlink"/>
            <w:rFonts w:asciiTheme="minorHAnsi" w:eastAsia="Arial" w:hAnsiTheme="minorHAnsi" w:cstheme="minorHAnsi"/>
            <w:lang w:val="en-US"/>
          </w:rPr>
          <w:t xml:space="preserve"> Indicators for the Residential Sector</w:t>
        </w:r>
      </w:hyperlink>
      <w:r w:rsidR="36231F35" w:rsidRPr="004C5C01">
        <w:rPr>
          <w:rFonts w:asciiTheme="minorHAnsi" w:eastAsia="Arial" w:hAnsiTheme="minorHAnsi" w:cstheme="minorHAnsi"/>
          <w:color w:val="000000" w:themeColor="text1"/>
          <w:lang w:val="en-US"/>
        </w:rPr>
        <w:t xml:space="preserve">  Disaggregated (Level 2) Indicators (just reading and exploring – </w:t>
      </w:r>
      <w:r w:rsidR="36231F35" w:rsidRPr="004C5C01">
        <w:rPr>
          <w:rFonts w:asciiTheme="minorHAnsi" w:eastAsia="Arial" w:hAnsiTheme="minorHAnsi" w:cstheme="minorHAnsi"/>
          <w:b/>
          <w:bCs/>
          <w:color w:val="000000" w:themeColor="text1"/>
          <w:lang w:val="en-US"/>
        </w:rPr>
        <w:t>No right answer</w:t>
      </w:r>
      <w:r w:rsidR="36231F35" w:rsidRPr="004C5C01">
        <w:rPr>
          <w:rFonts w:asciiTheme="minorHAnsi" w:eastAsia="Arial" w:hAnsiTheme="minorHAnsi" w:cstheme="minorHAnsi"/>
          <w:color w:val="000000" w:themeColor="text1"/>
          <w:lang w:val="en-US"/>
        </w:rPr>
        <w:t>)</w:t>
      </w:r>
    </w:p>
    <w:p w14:paraId="43DEA8D8" w14:textId="35A55215" w:rsidR="36231F35" w:rsidRPr="004C5C01" w:rsidRDefault="36231F35" w:rsidP="36231F35">
      <w:pPr>
        <w:pStyle w:val="BodyText"/>
        <w:rPr>
          <w:rFonts w:asciiTheme="minorHAnsi" w:hAnsiTheme="minorHAnsi" w:cstheme="minorHAnsi"/>
        </w:rPr>
      </w:pPr>
      <w:r w:rsidRPr="004C5C01">
        <w:rPr>
          <w:rFonts w:asciiTheme="minorHAnsi" w:hAnsiTheme="minorHAnsi" w:cstheme="minorHAnsi"/>
          <w:noProof/>
        </w:rPr>
        <w:drawing>
          <wp:inline distT="0" distB="0" distL="0" distR="0" wp14:anchorId="640403D7" wp14:editId="34241F1A">
            <wp:extent cx="2419350" cy="1762125"/>
            <wp:effectExtent l="0" t="0" r="0" b="0"/>
            <wp:docPr id="1186008796" name="Picture 1186008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extLst>
                        <a:ext uri="{28A0092B-C50C-407E-A947-70E740481C1C}">
                          <a14:useLocalDpi xmlns:a14="http://schemas.microsoft.com/office/drawing/2010/main" val="0"/>
                        </a:ext>
                      </a:extLst>
                    </a:blip>
                    <a:stretch>
                      <a:fillRect/>
                    </a:stretch>
                  </pic:blipFill>
                  <pic:spPr>
                    <a:xfrm>
                      <a:off x="0" y="0"/>
                      <a:ext cx="2419350" cy="1762125"/>
                    </a:xfrm>
                    <a:prstGeom prst="rect">
                      <a:avLst/>
                    </a:prstGeom>
                  </pic:spPr>
                </pic:pic>
              </a:graphicData>
            </a:graphic>
          </wp:inline>
        </w:drawing>
      </w:r>
    </w:p>
    <w:p w14:paraId="72508BFC" w14:textId="7A180D99" w:rsidR="36231F35" w:rsidRPr="004C5C01" w:rsidRDefault="00701EA9" w:rsidP="36231F35">
      <w:pPr>
        <w:pStyle w:val="BodyText"/>
        <w:rPr>
          <w:rFonts w:asciiTheme="minorHAnsi" w:hAnsiTheme="minorHAnsi" w:cstheme="minorHAnsi"/>
        </w:rPr>
      </w:pPr>
      <w:hyperlink r:id="rId39">
        <w:r w:rsidR="36231F35" w:rsidRPr="004C5C01">
          <w:rPr>
            <w:rStyle w:val="Hyperlink"/>
            <w:rFonts w:asciiTheme="minorHAnsi" w:eastAsia="Arial" w:hAnsiTheme="minorHAnsi" w:cstheme="minorHAnsi"/>
            <w:lang w:val="en-US"/>
          </w:rPr>
          <w:t>Activity 8: Module 2: Developing Policy Relevant Indicators for the Residential Sector</w:t>
        </w:r>
      </w:hyperlink>
      <w:r w:rsidR="36231F35" w:rsidRPr="004C5C01">
        <w:rPr>
          <w:rFonts w:asciiTheme="minorHAnsi" w:eastAsia="Arial" w:hAnsiTheme="minorHAnsi" w:cstheme="minorHAnsi"/>
          <w:color w:val="000000" w:themeColor="text1"/>
          <w:lang w:val="en-US"/>
        </w:rPr>
        <w:t>: Assessment Test</w:t>
      </w:r>
    </w:p>
    <w:p w14:paraId="4B078100" w14:textId="6C30ED66" w:rsidR="36231F35" w:rsidRPr="004C5C01" w:rsidRDefault="36231F35" w:rsidP="36231F35">
      <w:pPr>
        <w:rPr>
          <w:rFonts w:asciiTheme="minorHAnsi" w:hAnsiTheme="minorHAnsi" w:cstheme="minorHAnsi"/>
        </w:rPr>
      </w:pPr>
      <w:r w:rsidRPr="004C5C01">
        <w:rPr>
          <w:rFonts w:asciiTheme="minorHAnsi" w:eastAsia="Open Sans" w:hAnsiTheme="minorHAnsi" w:cstheme="minorHAnsi"/>
          <w:b/>
          <w:bCs/>
          <w:color w:val="474747"/>
        </w:rPr>
        <w:t>Module 2: Assessment Test</w:t>
      </w:r>
    </w:p>
    <w:p w14:paraId="08E53A28" w14:textId="1AFA9645"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1. In the context of the residential sector, understanding how various factors impact energy consumption is essential to determine where the largest potential to reduce energy consumption lies.</w:t>
      </w:r>
    </w:p>
    <w:p w14:paraId="174DD3A1" w14:textId="7826144F"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True</w:t>
      </w:r>
    </w:p>
    <w:p w14:paraId="5BC14472" w14:textId="1B2DA93C"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False</w:t>
      </w:r>
    </w:p>
    <w:p w14:paraId="03A0B92B" w14:textId="78A6BFEF"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2. Which are the six main end uses in the residential sector:</w:t>
      </w:r>
    </w:p>
    <w:p w14:paraId="7741CA36" w14:textId="7522BF26"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Space heating</w:t>
      </w:r>
    </w:p>
    <w:p w14:paraId="5B5215F8" w14:textId="161C874C"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Water heating</w:t>
      </w:r>
    </w:p>
    <w:p w14:paraId="08006174" w14:textId="136728F5"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Water cooling</w:t>
      </w:r>
    </w:p>
    <w:p w14:paraId="44EA2A45" w14:textId="208B6364"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lastRenderedPageBreak/>
        <w:t>Electric appliances</w:t>
      </w:r>
    </w:p>
    <w:p w14:paraId="05C1779E" w14:textId="42220248"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Cleaning</w:t>
      </w:r>
    </w:p>
    <w:p w14:paraId="7AA91F3D" w14:textId="7A70746C"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Cooking</w:t>
      </w:r>
    </w:p>
    <w:p w14:paraId="1883C885" w14:textId="32EBA22C"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Space cooling</w:t>
      </w:r>
    </w:p>
    <w:p w14:paraId="2BF03185" w14:textId="2A2ED7F8"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Commuting from home to work</w:t>
      </w:r>
    </w:p>
    <w:p w14:paraId="426F3FE8" w14:textId="49F8EF81"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Lighting</w:t>
      </w:r>
    </w:p>
    <w:p w14:paraId="2B283D31" w14:textId="632C64DC" w:rsidR="36231F35" w:rsidRPr="004C5C01" w:rsidRDefault="36231F35" w:rsidP="36231F35">
      <w:pPr>
        <w:pStyle w:val="Heading3"/>
        <w:rPr>
          <w:rFonts w:asciiTheme="minorHAnsi" w:eastAsia="Georgia" w:hAnsiTheme="minorHAnsi" w:cstheme="minorHAnsi"/>
          <w:b w:val="0"/>
          <w:color w:val="474747"/>
          <w:sz w:val="22"/>
          <w:szCs w:val="22"/>
        </w:rPr>
      </w:pPr>
    </w:p>
    <w:p w14:paraId="2F0C8A5C" w14:textId="019FA427"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3. Countries usually prioritise the development of indicators for end uses where large energy consumption is concentrated. Match the indicators according to the country specific policy objectives:</w:t>
      </w:r>
    </w:p>
    <w:p w14:paraId="3C062F75" w14:textId="68C858A1"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Reduction in the use of fossil fuels: Indicators for space heating and water heating</w:t>
      </w:r>
    </w:p>
    <w:p w14:paraId="6D0ED005" w14:textId="3DB452AF"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Reduction of electricity use: Indicators for appliances, lighting or space cooling</w:t>
      </w:r>
    </w:p>
    <w:p w14:paraId="17C2A25B" w14:textId="7C714029" w:rsidR="36231F35" w:rsidRPr="004C5C01" w:rsidRDefault="36231F35" w:rsidP="36231F35">
      <w:pPr>
        <w:pStyle w:val="Heading3"/>
        <w:rPr>
          <w:rFonts w:asciiTheme="minorHAnsi" w:eastAsia="Georgia" w:hAnsiTheme="minorHAnsi" w:cstheme="minorHAnsi"/>
          <w:b w:val="0"/>
          <w:color w:val="474747"/>
          <w:sz w:val="22"/>
          <w:szCs w:val="22"/>
        </w:rPr>
      </w:pPr>
    </w:p>
    <w:p w14:paraId="4B55D0B2" w14:textId="0CDA4F7D"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4. How detailed should indicators be to develop meaningful energy efficiency policies? Choose the important considerations for policy makers to bear in mind.</w:t>
      </w:r>
    </w:p>
    <w:p w14:paraId="79F35724" w14:textId="44559B5B"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The recommended level of disaggregation for large energy-using appliances, such as refrigerators, is at the individual appliance level</w:t>
      </w:r>
    </w:p>
    <w:p w14:paraId="26F63ED6" w14:textId="6388A89E"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Climate and consumer preferences are the most important factors to consider when developing indicators for space heating</w:t>
      </w:r>
    </w:p>
    <w:p w14:paraId="1D39698B" w14:textId="3F891562"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Further disaggregation of level 1 indicators may be needed if the building stock in the country is very diverse</w:t>
      </w:r>
    </w:p>
    <w:p w14:paraId="2539696E" w14:textId="5B8E051E" w:rsidR="36231F35" w:rsidRPr="004C5C01" w:rsidRDefault="36231F35" w:rsidP="36231F35">
      <w:pPr>
        <w:rPr>
          <w:rFonts w:asciiTheme="minorHAnsi" w:hAnsiTheme="minorHAnsi" w:cstheme="minorHAnsi"/>
        </w:rPr>
      </w:pPr>
      <w:proofErr w:type="gramStart"/>
      <w:r w:rsidRPr="004C5C01">
        <w:rPr>
          <w:rFonts w:asciiTheme="minorHAnsi" w:eastAsia="Open Sans" w:hAnsiTheme="minorHAnsi" w:cstheme="minorHAnsi"/>
          <w:color w:val="313131"/>
        </w:rPr>
        <w:t>Usually</w:t>
      </w:r>
      <w:proofErr w:type="gramEnd"/>
      <w:r w:rsidRPr="004C5C01">
        <w:rPr>
          <w:rFonts w:asciiTheme="minorHAnsi" w:eastAsia="Open Sans" w:hAnsiTheme="minorHAnsi" w:cstheme="minorHAnsi"/>
          <w:color w:val="313131"/>
        </w:rPr>
        <w:t xml:space="preserve"> energy consumption of urban population in developing countries is more energy intense than consumption of rural population</w:t>
      </w:r>
    </w:p>
    <w:p w14:paraId="1734A9A3" w14:textId="15B5E53C"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Residential energy consumption per capita provides general insights on the evolution of the sector, but does not account for the numerous factors and driving forces that influence it</w:t>
      </w:r>
    </w:p>
    <w:p w14:paraId="517C330C" w14:textId="74B61839"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5. Decomposition analysis can be performed to explain the driving forces behind observed changes in energy consumption. Match the structural changes (captured in a decomposition analysis) to the energy end-uses they may have an impact on:</w:t>
      </w:r>
      <w:r w:rsidRPr="004C5C01">
        <w:rPr>
          <w:rFonts w:asciiTheme="minorHAnsi" w:eastAsia="Open Sans" w:hAnsiTheme="minorHAnsi" w:cstheme="minorHAnsi"/>
          <w:b w:val="0"/>
          <w:color w:val="222222"/>
          <w:sz w:val="22"/>
          <w:szCs w:val="22"/>
        </w:rPr>
        <w:t xml:space="preserve"> </w:t>
      </w:r>
    </w:p>
    <w:p w14:paraId="3A86A3B0" w14:textId="28B535CC"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Space heating</w:t>
      </w:r>
    </w:p>
    <w:p w14:paraId="0FA78B72" w14:textId="1D415EAF"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Cooking</w:t>
      </w:r>
    </w:p>
    <w:p w14:paraId="7F77C292" w14:textId="7813758E"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t xml:space="preserve"> Appliances</w:t>
      </w:r>
    </w:p>
    <w:p w14:paraId="6B83C9D3" w14:textId="797A220F"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222222"/>
        </w:rPr>
        <w:lastRenderedPageBreak/>
        <w:t xml:space="preserve"> </w:t>
      </w:r>
      <w:r w:rsidRPr="004C5C01">
        <w:rPr>
          <w:rFonts w:asciiTheme="minorHAnsi" w:eastAsia="Georgia" w:hAnsiTheme="minorHAnsi" w:cstheme="minorHAnsi"/>
          <w:color w:val="474747"/>
        </w:rPr>
        <w:t>6. Energy consumed for cooking per occupied dwelling (level 2 indicator) provides important insights on the level of cooking efficiency in countries where the energy sources for cooking are diverse, and less so in countries where the energy source is predominantly biomass:</w:t>
      </w:r>
    </w:p>
    <w:p w14:paraId="17DF00CC" w14:textId="03573F6D"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False</w:t>
      </w:r>
    </w:p>
    <w:p w14:paraId="7D213B8D" w14:textId="75AF1178" w:rsidR="36231F35" w:rsidRPr="004C5C01" w:rsidRDefault="36231F35" w:rsidP="36231F35">
      <w:pPr>
        <w:pStyle w:val="Heading3"/>
        <w:rPr>
          <w:rFonts w:asciiTheme="minorHAnsi" w:hAnsiTheme="minorHAnsi" w:cstheme="minorHAnsi"/>
          <w:sz w:val="22"/>
          <w:szCs w:val="22"/>
        </w:rPr>
      </w:pPr>
      <w:r w:rsidRPr="004C5C01">
        <w:rPr>
          <w:rFonts w:asciiTheme="minorHAnsi" w:eastAsia="Georgia" w:hAnsiTheme="minorHAnsi" w:cstheme="minorHAnsi"/>
          <w:b w:val="0"/>
          <w:color w:val="474747"/>
          <w:sz w:val="22"/>
          <w:szCs w:val="22"/>
        </w:rPr>
        <w:t>7. Energy efficiency indicators frameworks need to be supplemented by additional information, most notably with regard to:</w:t>
      </w:r>
    </w:p>
    <w:p w14:paraId="0FD0DCA5" w14:textId="4B3FA24B"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Consumer preferences</w:t>
      </w:r>
    </w:p>
    <w:p w14:paraId="5EE71438" w14:textId="57BC9BC0"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Climate change</w:t>
      </w:r>
    </w:p>
    <w:p w14:paraId="25EC1C1B" w14:textId="6A17A63B" w:rsidR="36231F35" w:rsidRPr="004C5C01" w:rsidRDefault="36231F35" w:rsidP="36231F35">
      <w:pPr>
        <w:rPr>
          <w:rFonts w:asciiTheme="minorHAnsi" w:hAnsiTheme="minorHAnsi" w:cstheme="minorHAnsi"/>
        </w:rPr>
      </w:pPr>
      <w:r w:rsidRPr="004C5C01">
        <w:rPr>
          <w:rFonts w:asciiTheme="minorHAnsi" w:eastAsia="Open Sans" w:hAnsiTheme="minorHAnsi" w:cstheme="minorHAnsi"/>
          <w:color w:val="313131"/>
        </w:rPr>
        <w:t>Political stability</w:t>
      </w:r>
    </w:p>
    <w:p w14:paraId="393DC620" w14:textId="5554417A"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Market developments</w:t>
      </w:r>
    </w:p>
    <w:p w14:paraId="30AB4D2D" w14:textId="6BF3AE0C" w:rsidR="36231F35" w:rsidRPr="004C5C01" w:rsidRDefault="36231F35" w:rsidP="36231F35">
      <w:pPr>
        <w:rPr>
          <w:rFonts w:asciiTheme="minorHAnsi" w:eastAsia="Open Sans" w:hAnsiTheme="minorHAnsi" w:cstheme="minorHAnsi"/>
          <w:b/>
          <w:bCs/>
          <w:color w:val="313131"/>
        </w:rPr>
      </w:pPr>
      <w:r w:rsidRPr="004C5C01">
        <w:rPr>
          <w:rFonts w:asciiTheme="minorHAnsi" w:eastAsia="Open Sans" w:hAnsiTheme="minorHAnsi" w:cstheme="minorHAnsi"/>
          <w:b/>
          <w:bCs/>
          <w:color w:val="313131"/>
        </w:rPr>
        <w:t>Technological innovation</w:t>
      </w:r>
    </w:p>
    <w:p w14:paraId="5D8F01B5" w14:textId="53FF4D52" w:rsidR="36231F35" w:rsidRDefault="36231F35" w:rsidP="36231F35">
      <w:pPr>
        <w:pStyle w:val="BodyText"/>
      </w:pPr>
      <w:r>
        <w:br/>
      </w:r>
    </w:p>
    <w:p w14:paraId="1178CCDE" w14:textId="6662569B" w:rsidR="36231F35" w:rsidRDefault="36231F35" w:rsidP="36231F35">
      <w:pPr>
        <w:pStyle w:val="BodyText"/>
      </w:pPr>
    </w:p>
    <w:p w14:paraId="6390F489" w14:textId="23AE1283" w:rsidR="36231F35" w:rsidRDefault="36231F35" w:rsidP="36231F35">
      <w:pPr>
        <w:pStyle w:val="BodyText"/>
      </w:pPr>
    </w:p>
    <w:p w14:paraId="61694688" w14:textId="4EC24785" w:rsidR="36231F35" w:rsidRDefault="36231F35" w:rsidP="36231F35">
      <w:pPr>
        <w:pStyle w:val="BodyText"/>
      </w:pPr>
    </w:p>
    <w:sectPr w:rsidR="36231F35" w:rsidSect="00B5111E">
      <w:headerReference w:type="default" r:id="rId40"/>
      <w:footerReference w:type="default" r:id="rId41"/>
      <w:pgSz w:w="11906" w:h="16838"/>
      <w:pgMar w:top="1985" w:right="1418" w:bottom="1701" w:left="1418" w:header="567"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3C5F" w14:textId="77777777" w:rsidR="00701EA9" w:rsidRDefault="00701EA9" w:rsidP="007135AB">
      <w:pPr>
        <w:spacing w:after="0" w:line="240" w:lineRule="auto"/>
      </w:pPr>
      <w:r>
        <w:separator/>
      </w:r>
    </w:p>
  </w:endnote>
  <w:endnote w:type="continuationSeparator" w:id="0">
    <w:p w14:paraId="11D18AAF" w14:textId="77777777" w:rsidR="00701EA9" w:rsidRDefault="00701EA9" w:rsidP="00713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Open Sans"/>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E326" w14:textId="77777777" w:rsidR="000C5616" w:rsidRPr="003804ED" w:rsidRDefault="00823C88" w:rsidP="004D3044">
    <w:pPr>
      <w:pStyle w:val="NoParagraphStyle"/>
      <w:spacing w:line="240" w:lineRule="auto"/>
      <w:rPr>
        <w:rFonts w:ascii="Segoe UI" w:hAnsi="Segoe UI" w:cs="Segoe UI"/>
        <w:color w:val="7F7F7F" w:themeColor="text1" w:themeTint="80"/>
        <w:sz w:val="20"/>
        <w:szCs w:val="15"/>
        <w:lang w:val="fr-FR"/>
      </w:rPr>
    </w:pPr>
    <w:r>
      <w:rPr>
        <w:rFonts w:ascii="Segoe UI" w:hAnsi="Segoe UI" w:cs="Segoe UI"/>
        <w:noProof/>
        <w:color w:val="7F7F7F" w:themeColor="text1" w:themeTint="80"/>
        <w:sz w:val="20"/>
        <w:szCs w:val="15"/>
        <w:lang w:val="en-GB"/>
      </w:rPr>
      <w:drawing>
        <wp:inline distT="0" distB="0" distL="0" distR="0" wp14:anchorId="7EFF6229" wp14:editId="2665BD60">
          <wp:extent cx="1050202" cy="3214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a_wordmark_PRINT (with extra spacing for word).pdf"/>
                  <pic:cNvPicPr/>
                </pic:nvPicPr>
                <pic:blipFill>
                  <a:blip r:embed="rId1">
                    <a:extLst>
                      <a:ext uri="{28A0092B-C50C-407E-A947-70E740481C1C}">
                        <a14:useLocalDpi xmlns:a14="http://schemas.microsoft.com/office/drawing/2010/main" val="0"/>
                      </a:ext>
                    </a:extLst>
                  </a:blip>
                  <a:stretch>
                    <a:fillRect/>
                  </a:stretch>
                </pic:blipFill>
                <pic:spPr>
                  <a:xfrm>
                    <a:off x="0" y="0"/>
                    <a:ext cx="1153794" cy="3532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B42F6" w14:textId="77777777" w:rsidR="00701EA9" w:rsidRDefault="00701EA9" w:rsidP="007135AB">
      <w:pPr>
        <w:spacing w:after="0" w:line="240" w:lineRule="auto"/>
      </w:pPr>
      <w:r>
        <w:separator/>
      </w:r>
    </w:p>
  </w:footnote>
  <w:footnote w:type="continuationSeparator" w:id="0">
    <w:p w14:paraId="440042EC" w14:textId="77777777" w:rsidR="00701EA9" w:rsidRDefault="00701EA9" w:rsidP="00713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0983" w14:textId="77777777" w:rsidR="000C5616" w:rsidRPr="001A4288" w:rsidRDefault="000C5616" w:rsidP="008369F6">
    <w:pPr>
      <w:pStyle w:val="Header"/>
      <w:tabs>
        <w:tab w:val="left" w:pos="5954"/>
      </w:tabs>
      <w:rPr>
        <w:rFonts w:ascii="Trebuchet MS" w:hAnsi="Trebuchet MS"/>
        <w:sz w:val="20"/>
        <w:szCs w:val="20"/>
      </w:rPr>
    </w:pPr>
  </w:p>
  <w:p w14:paraId="3986AD53" w14:textId="77777777" w:rsidR="0005558C" w:rsidRDefault="00EF1BA6" w:rsidP="00C611DC">
    <w:pPr>
      <w:pStyle w:val="Header"/>
      <w:rPr>
        <w:rFonts w:ascii="Trebuchet MS" w:hAnsi="Trebuchet MS"/>
        <w:sz w:val="20"/>
        <w:szCs w:val="20"/>
      </w:rPr>
    </w:pPr>
    <w:r>
      <w:rPr>
        <w:rFonts w:ascii="Trebuchet MS" w:hAnsi="Trebuchet MS"/>
        <w:noProof/>
        <w:sz w:val="20"/>
        <w:szCs w:val="20"/>
        <w:lang w:eastAsia="en-GB"/>
      </w:rPr>
      <w:drawing>
        <wp:inline distT="0" distB="0" distL="0" distR="0" wp14:anchorId="34B7F8F1" wp14:editId="10D60EB8">
          <wp:extent cx="869950" cy="382388"/>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ea_logo_PRINT.pdf"/>
                  <pic:cNvPicPr/>
                </pic:nvPicPr>
                <pic:blipFill>
                  <a:blip r:embed="rId1">
                    <a:extLst>
                      <a:ext uri="{28A0092B-C50C-407E-A947-70E740481C1C}">
                        <a14:useLocalDpi xmlns:a14="http://schemas.microsoft.com/office/drawing/2010/main" val="0"/>
                      </a:ext>
                    </a:extLst>
                  </a:blip>
                  <a:stretch>
                    <a:fillRect/>
                  </a:stretch>
                </pic:blipFill>
                <pic:spPr>
                  <a:xfrm>
                    <a:off x="0" y="0"/>
                    <a:ext cx="939080" cy="412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1BD"/>
    <w:multiLevelType w:val="hybridMultilevel"/>
    <w:tmpl w:val="B1882AC8"/>
    <w:lvl w:ilvl="0" w:tplc="BFCA2228">
      <w:start w:val="1"/>
      <w:numFmt w:val="decimal"/>
      <w:lvlText w:val="%1."/>
      <w:lvlJc w:val="left"/>
      <w:pPr>
        <w:ind w:left="720" w:hanging="360"/>
      </w:pPr>
    </w:lvl>
    <w:lvl w:ilvl="1" w:tplc="AEFEEAB8">
      <w:start w:val="1"/>
      <w:numFmt w:val="lowerLetter"/>
      <w:lvlText w:val="%2."/>
      <w:lvlJc w:val="left"/>
      <w:pPr>
        <w:ind w:left="1440" w:hanging="360"/>
      </w:pPr>
    </w:lvl>
    <w:lvl w:ilvl="2" w:tplc="2F4A74E8">
      <w:start w:val="1"/>
      <w:numFmt w:val="lowerRoman"/>
      <w:lvlText w:val="%3."/>
      <w:lvlJc w:val="right"/>
      <w:pPr>
        <w:ind w:left="2160" w:hanging="180"/>
      </w:pPr>
    </w:lvl>
    <w:lvl w:ilvl="3" w:tplc="4190BC40">
      <w:start w:val="1"/>
      <w:numFmt w:val="decimal"/>
      <w:lvlText w:val="%4."/>
      <w:lvlJc w:val="left"/>
      <w:pPr>
        <w:ind w:left="2880" w:hanging="360"/>
      </w:pPr>
    </w:lvl>
    <w:lvl w:ilvl="4" w:tplc="99A61650">
      <w:start w:val="1"/>
      <w:numFmt w:val="lowerLetter"/>
      <w:lvlText w:val="%5."/>
      <w:lvlJc w:val="left"/>
      <w:pPr>
        <w:ind w:left="3600" w:hanging="360"/>
      </w:pPr>
    </w:lvl>
    <w:lvl w:ilvl="5" w:tplc="6D9A1B4E">
      <w:start w:val="1"/>
      <w:numFmt w:val="lowerRoman"/>
      <w:lvlText w:val="%6."/>
      <w:lvlJc w:val="right"/>
      <w:pPr>
        <w:ind w:left="4320" w:hanging="180"/>
      </w:pPr>
    </w:lvl>
    <w:lvl w:ilvl="6" w:tplc="E90625C8">
      <w:start w:val="1"/>
      <w:numFmt w:val="decimal"/>
      <w:lvlText w:val="%7."/>
      <w:lvlJc w:val="left"/>
      <w:pPr>
        <w:ind w:left="5040" w:hanging="360"/>
      </w:pPr>
    </w:lvl>
    <w:lvl w:ilvl="7" w:tplc="EAEE4006">
      <w:start w:val="1"/>
      <w:numFmt w:val="lowerLetter"/>
      <w:lvlText w:val="%8."/>
      <w:lvlJc w:val="left"/>
      <w:pPr>
        <w:ind w:left="5760" w:hanging="360"/>
      </w:pPr>
    </w:lvl>
    <w:lvl w:ilvl="8" w:tplc="A7B8E3E6">
      <w:start w:val="1"/>
      <w:numFmt w:val="lowerRoman"/>
      <w:lvlText w:val="%9."/>
      <w:lvlJc w:val="right"/>
      <w:pPr>
        <w:ind w:left="6480" w:hanging="180"/>
      </w:pPr>
    </w:lvl>
  </w:abstractNum>
  <w:abstractNum w:abstractNumId="1" w15:restartNumberingAfterBreak="0">
    <w:nsid w:val="04073BAB"/>
    <w:multiLevelType w:val="hybridMultilevel"/>
    <w:tmpl w:val="A8429B18"/>
    <w:lvl w:ilvl="0" w:tplc="988CB0A8">
      <w:start w:val="1"/>
      <w:numFmt w:val="lowerLetter"/>
      <w:lvlText w:val="%1."/>
      <w:lvlJc w:val="left"/>
      <w:pPr>
        <w:ind w:left="720" w:hanging="360"/>
      </w:pPr>
    </w:lvl>
    <w:lvl w:ilvl="1" w:tplc="89F2AC02">
      <w:start w:val="1"/>
      <w:numFmt w:val="lowerLetter"/>
      <w:lvlText w:val="%2."/>
      <w:lvlJc w:val="left"/>
      <w:pPr>
        <w:ind w:left="1440" w:hanging="360"/>
      </w:pPr>
    </w:lvl>
    <w:lvl w:ilvl="2" w:tplc="34C0F608">
      <w:start w:val="1"/>
      <w:numFmt w:val="lowerRoman"/>
      <w:lvlText w:val="%3."/>
      <w:lvlJc w:val="right"/>
      <w:pPr>
        <w:ind w:left="2160" w:hanging="180"/>
      </w:pPr>
    </w:lvl>
    <w:lvl w:ilvl="3" w:tplc="20B4F56A">
      <w:start w:val="1"/>
      <w:numFmt w:val="decimal"/>
      <w:lvlText w:val="%4."/>
      <w:lvlJc w:val="left"/>
      <w:pPr>
        <w:ind w:left="2880" w:hanging="360"/>
      </w:pPr>
    </w:lvl>
    <w:lvl w:ilvl="4" w:tplc="7834E5FA">
      <w:start w:val="1"/>
      <w:numFmt w:val="lowerLetter"/>
      <w:lvlText w:val="%5."/>
      <w:lvlJc w:val="left"/>
      <w:pPr>
        <w:ind w:left="3600" w:hanging="360"/>
      </w:pPr>
    </w:lvl>
    <w:lvl w:ilvl="5" w:tplc="5CE8A3A0">
      <w:start w:val="1"/>
      <w:numFmt w:val="lowerRoman"/>
      <w:lvlText w:val="%6."/>
      <w:lvlJc w:val="right"/>
      <w:pPr>
        <w:ind w:left="4320" w:hanging="180"/>
      </w:pPr>
    </w:lvl>
    <w:lvl w:ilvl="6" w:tplc="DCD0B852">
      <w:start w:val="1"/>
      <w:numFmt w:val="decimal"/>
      <w:lvlText w:val="%7."/>
      <w:lvlJc w:val="left"/>
      <w:pPr>
        <w:ind w:left="5040" w:hanging="360"/>
      </w:pPr>
    </w:lvl>
    <w:lvl w:ilvl="7" w:tplc="C1FC71D0">
      <w:start w:val="1"/>
      <w:numFmt w:val="lowerLetter"/>
      <w:lvlText w:val="%8."/>
      <w:lvlJc w:val="left"/>
      <w:pPr>
        <w:ind w:left="5760" w:hanging="360"/>
      </w:pPr>
    </w:lvl>
    <w:lvl w:ilvl="8" w:tplc="D20EEE8A">
      <w:start w:val="1"/>
      <w:numFmt w:val="lowerRoman"/>
      <w:lvlText w:val="%9."/>
      <w:lvlJc w:val="right"/>
      <w:pPr>
        <w:ind w:left="6480" w:hanging="180"/>
      </w:pPr>
    </w:lvl>
  </w:abstractNum>
  <w:abstractNum w:abstractNumId="2" w15:restartNumberingAfterBreak="0">
    <w:nsid w:val="0BD64557"/>
    <w:multiLevelType w:val="hybridMultilevel"/>
    <w:tmpl w:val="C71E4FA6"/>
    <w:lvl w:ilvl="0" w:tplc="04DE3BB0">
      <w:start w:val="1"/>
      <w:numFmt w:val="bullet"/>
      <w:lvlText w:val="-"/>
      <w:lvlJc w:val="left"/>
      <w:pPr>
        <w:ind w:left="1080" w:hanging="360"/>
      </w:pPr>
      <w:rPr>
        <w:rFonts w:ascii="Calibri" w:hAnsi="Calibri" w:hint="default"/>
      </w:rPr>
    </w:lvl>
    <w:lvl w:ilvl="1" w:tplc="619C1B02">
      <w:start w:val="1"/>
      <w:numFmt w:val="bullet"/>
      <w:lvlText w:val="o"/>
      <w:lvlJc w:val="left"/>
      <w:pPr>
        <w:ind w:left="1800" w:hanging="360"/>
      </w:pPr>
      <w:rPr>
        <w:rFonts w:ascii="Courier New" w:hAnsi="Courier New" w:hint="default"/>
      </w:rPr>
    </w:lvl>
    <w:lvl w:ilvl="2" w:tplc="7108A8AE">
      <w:start w:val="1"/>
      <w:numFmt w:val="bullet"/>
      <w:lvlText w:val=""/>
      <w:lvlJc w:val="left"/>
      <w:pPr>
        <w:ind w:left="2520" w:hanging="360"/>
      </w:pPr>
      <w:rPr>
        <w:rFonts w:ascii="Wingdings" w:hAnsi="Wingdings" w:hint="default"/>
      </w:rPr>
    </w:lvl>
    <w:lvl w:ilvl="3" w:tplc="B8B0E94A">
      <w:start w:val="1"/>
      <w:numFmt w:val="bullet"/>
      <w:lvlText w:val=""/>
      <w:lvlJc w:val="left"/>
      <w:pPr>
        <w:ind w:left="3240" w:hanging="360"/>
      </w:pPr>
      <w:rPr>
        <w:rFonts w:ascii="Symbol" w:hAnsi="Symbol" w:hint="default"/>
      </w:rPr>
    </w:lvl>
    <w:lvl w:ilvl="4" w:tplc="75F25864">
      <w:start w:val="1"/>
      <w:numFmt w:val="bullet"/>
      <w:lvlText w:val="o"/>
      <w:lvlJc w:val="left"/>
      <w:pPr>
        <w:ind w:left="3960" w:hanging="360"/>
      </w:pPr>
      <w:rPr>
        <w:rFonts w:ascii="Courier New" w:hAnsi="Courier New" w:hint="default"/>
      </w:rPr>
    </w:lvl>
    <w:lvl w:ilvl="5" w:tplc="621AF030">
      <w:start w:val="1"/>
      <w:numFmt w:val="bullet"/>
      <w:lvlText w:val=""/>
      <w:lvlJc w:val="left"/>
      <w:pPr>
        <w:ind w:left="4680" w:hanging="360"/>
      </w:pPr>
      <w:rPr>
        <w:rFonts w:ascii="Wingdings" w:hAnsi="Wingdings" w:hint="default"/>
      </w:rPr>
    </w:lvl>
    <w:lvl w:ilvl="6" w:tplc="E2687466">
      <w:start w:val="1"/>
      <w:numFmt w:val="bullet"/>
      <w:lvlText w:val=""/>
      <w:lvlJc w:val="left"/>
      <w:pPr>
        <w:ind w:left="5400" w:hanging="360"/>
      </w:pPr>
      <w:rPr>
        <w:rFonts w:ascii="Symbol" w:hAnsi="Symbol" w:hint="default"/>
      </w:rPr>
    </w:lvl>
    <w:lvl w:ilvl="7" w:tplc="F524F556">
      <w:start w:val="1"/>
      <w:numFmt w:val="bullet"/>
      <w:lvlText w:val="o"/>
      <w:lvlJc w:val="left"/>
      <w:pPr>
        <w:ind w:left="6120" w:hanging="360"/>
      </w:pPr>
      <w:rPr>
        <w:rFonts w:ascii="Courier New" w:hAnsi="Courier New" w:hint="default"/>
      </w:rPr>
    </w:lvl>
    <w:lvl w:ilvl="8" w:tplc="8E5CE79A">
      <w:start w:val="1"/>
      <w:numFmt w:val="bullet"/>
      <w:lvlText w:val=""/>
      <w:lvlJc w:val="left"/>
      <w:pPr>
        <w:ind w:left="6840" w:hanging="360"/>
      </w:pPr>
      <w:rPr>
        <w:rFonts w:ascii="Wingdings" w:hAnsi="Wingdings" w:hint="default"/>
      </w:rPr>
    </w:lvl>
  </w:abstractNum>
  <w:abstractNum w:abstractNumId="3" w15:restartNumberingAfterBreak="0">
    <w:nsid w:val="17390B92"/>
    <w:multiLevelType w:val="hybridMultilevel"/>
    <w:tmpl w:val="330EF7D0"/>
    <w:lvl w:ilvl="0" w:tplc="7E8A0862">
      <w:start w:val="1"/>
      <w:numFmt w:val="bullet"/>
      <w:lvlText w:val=""/>
      <w:lvlJc w:val="left"/>
      <w:pPr>
        <w:ind w:left="720" w:hanging="360"/>
      </w:pPr>
      <w:rPr>
        <w:rFonts w:ascii="Symbol" w:hAnsi="Symbol" w:hint="default"/>
      </w:rPr>
    </w:lvl>
    <w:lvl w:ilvl="1" w:tplc="E8A46140">
      <w:start w:val="1"/>
      <w:numFmt w:val="bullet"/>
      <w:lvlText w:val="o"/>
      <w:lvlJc w:val="left"/>
      <w:pPr>
        <w:ind w:left="1440" w:hanging="360"/>
      </w:pPr>
      <w:rPr>
        <w:rFonts w:ascii="Courier New" w:hAnsi="Courier New" w:hint="default"/>
      </w:rPr>
    </w:lvl>
    <w:lvl w:ilvl="2" w:tplc="67A234DA">
      <w:start w:val="1"/>
      <w:numFmt w:val="bullet"/>
      <w:lvlText w:val=""/>
      <w:lvlJc w:val="left"/>
      <w:pPr>
        <w:ind w:left="2160" w:hanging="360"/>
      </w:pPr>
      <w:rPr>
        <w:rFonts w:ascii="Wingdings" w:hAnsi="Wingdings" w:hint="default"/>
      </w:rPr>
    </w:lvl>
    <w:lvl w:ilvl="3" w:tplc="FEBE52FE">
      <w:start w:val="1"/>
      <w:numFmt w:val="bullet"/>
      <w:lvlText w:val=""/>
      <w:lvlJc w:val="left"/>
      <w:pPr>
        <w:ind w:left="2880" w:hanging="360"/>
      </w:pPr>
      <w:rPr>
        <w:rFonts w:ascii="Symbol" w:hAnsi="Symbol" w:hint="default"/>
      </w:rPr>
    </w:lvl>
    <w:lvl w:ilvl="4" w:tplc="70DAEFFC">
      <w:start w:val="1"/>
      <w:numFmt w:val="bullet"/>
      <w:lvlText w:val="o"/>
      <w:lvlJc w:val="left"/>
      <w:pPr>
        <w:ind w:left="3600" w:hanging="360"/>
      </w:pPr>
      <w:rPr>
        <w:rFonts w:ascii="Courier New" w:hAnsi="Courier New" w:hint="default"/>
      </w:rPr>
    </w:lvl>
    <w:lvl w:ilvl="5" w:tplc="4C803DDC">
      <w:start w:val="1"/>
      <w:numFmt w:val="bullet"/>
      <w:lvlText w:val=""/>
      <w:lvlJc w:val="left"/>
      <w:pPr>
        <w:ind w:left="4320" w:hanging="360"/>
      </w:pPr>
      <w:rPr>
        <w:rFonts w:ascii="Wingdings" w:hAnsi="Wingdings" w:hint="default"/>
      </w:rPr>
    </w:lvl>
    <w:lvl w:ilvl="6" w:tplc="82E28F2C">
      <w:start w:val="1"/>
      <w:numFmt w:val="bullet"/>
      <w:lvlText w:val=""/>
      <w:lvlJc w:val="left"/>
      <w:pPr>
        <w:ind w:left="5040" w:hanging="360"/>
      </w:pPr>
      <w:rPr>
        <w:rFonts w:ascii="Symbol" w:hAnsi="Symbol" w:hint="default"/>
      </w:rPr>
    </w:lvl>
    <w:lvl w:ilvl="7" w:tplc="FD94B658">
      <w:start w:val="1"/>
      <w:numFmt w:val="bullet"/>
      <w:lvlText w:val="o"/>
      <w:lvlJc w:val="left"/>
      <w:pPr>
        <w:ind w:left="5760" w:hanging="360"/>
      </w:pPr>
      <w:rPr>
        <w:rFonts w:ascii="Courier New" w:hAnsi="Courier New" w:hint="default"/>
      </w:rPr>
    </w:lvl>
    <w:lvl w:ilvl="8" w:tplc="CF800AF2">
      <w:start w:val="1"/>
      <w:numFmt w:val="bullet"/>
      <w:lvlText w:val=""/>
      <w:lvlJc w:val="left"/>
      <w:pPr>
        <w:ind w:left="6480" w:hanging="360"/>
      </w:pPr>
      <w:rPr>
        <w:rFonts w:ascii="Wingdings" w:hAnsi="Wingdings" w:hint="default"/>
      </w:rPr>
    </w:lvl>
  </w:abstractNum>
  <w:abstractNum w:abstractNumId="4" w15:restartNumberingAfterBreak="0">
    <w:nsid w:val="18E0071A"/>
    <w:multiLevelType w:val="hybridMultilevel"/>
    <w:tmpl w:val="56F435BA"/>
    <w:lvl w:ilvl="0" w:tplc="A63E04E2">
      <w:start w:val="1"/>
      <w:numFmt w:val="decimal"/>
      <w:lvlText w:val="%1."/>
      <w:lvlJc w:val="left"/>
      <w:pPr>
        <w:ind w:left="720" w:hanging="360"/>
      </w:pPr>
    </w:lvl>
    <w:lvl w:ilvl="1" w:tplc="922C22F8">
      <w:start w:val="1"/>
      <w:numFmt w:val="lowerLetter"/>
      <w:lvlText w:val="%2."/>
      <w:lvlJc w:val="left"/>
      <w:pPr>
        <w:ind w:left="1440" w:hanging="360"/>
      </w:pPr>
    </w:lvl>
    <w:lvl w:ilvl="2" w:tplc="D1D8C51E">
      <w:start w:val="1"/>
      <w:numFmt w:val="lowerRoman"/>
      <w:lvlText w:val="%3."/>
      <w:lvlJc w:val="right"/>
      <w:pPr>
        <w:ind w:left="2160" w:hanging="180"/>
      </w:pPr>
    </w:lvl>
    <w:lvl w:ilvl="3" w:tplc="C3146044">
      <w:start w:val="1"/>
      <w:numFmt w:val="decimal"/>
      <w:lvlText w:val="%4."/>
      <w:lvlJc w:val="left"/>
      <w:pPr>
        <w:ind w:left="2880" w:hanging="360"/>
      </w:pPr>
    </w:lvl>
    <w:lvl w:ilvl="4" w:tplc="66AE7874">
      <w:start w:val="1"/>
      <w:numFmt w:val="lowerLetter"/>
      <w:lvlText w:val="%5."/>
      <w:lvlJc w:val="left"/>
      <w:pPr>
        <w:ind w:left="3600" w:hanging="360"/>
      </w:pPr>
    </w:lvl>
    <w:lvl w:ilvl="5" w:tplc="9E0CC618">
      <w:start w:val="1"/>
      <w:numFmt w:val="lowerRoman"/>
      <w:lvlText w:val="%6."/>
      <w:lvlJc w:val="right"/>
      <w:pPr>
        <w:ind w:left="4320" w:hanging="180"/>
      </w:pPr>
    </w:lvl>
    <w:lvl w:ilvl="6" w:tplc="0ADE3404">
      <w:start w:val="1"/>
      <w:numFmt w:val="decimal"/>
      <w:lvlText w:val="%7."/>
      <w:lvlJc w:val="left"/>
      <w:pPr>
        <w:ind w:left="5040" w:hanging="360"/>
      </w:pPr>
    </w:lvl>
    <w:lvl w:ilvl="7" w:tplc="DB8ABC0E">
      <w:start w:val="1"/>
      <w:numFmt w:val="lowerLetter"/>
      <w:lvlText w:val="%8."/>
      <w:lvlJc w:val="left"/>
      <w:pPr>
        <w:ind w:left="5760" w:hanging="360"/>
      </w:pPr>
    </w:lvl>
    <w:lvl w:ilvl="8" w:tplc="F7AC2CFA">
      <w:start w:val="1"/>
      <w:numFmt w:val="lowerRoman"/>
      <w:lvlText w:val="%9."/>
      <w:lvlJc w:val="right"/>
      <w:pPr>
        <w:ind w:left="6480" w:hanging="180"/>
      </w:pPr>
    </w:lvl>
  </w:abstractNum>
  <w:abstractNum w:abstractNumId="5" w15:restartNumberingAfterBreak="0">
    <w:nsid w:val="225C5CE4"/>
    <w:multiLevelType w:val="hybridMultilevel"/>
    <w:tmpl w:val="CC7C2E9A"/>
    <w:lvl w:ilvl="0" w:tplc="32EE1EE6">
      <w:start w:val="1"/>
      <w:numFmt w:val="bullet"/>
      <w:lvlText w:val=""/>
      <w:lvlJc w:val="left"/>
      <w:pPr>
        <w:ind w:left="720" w:hanging="360"/>
      </w:pPr>
      <w:rPr>
        <w:rFonts w:ascii="Symbol" w:hAnsi="Symbol" w:hint="default"/>
      </w:rPr>
    </w:lvl>
    <w:lvl w:ilvl="1" w:tplc="9D149570">
      <w:start w:val="1"/>
      <w:numFmt w:val="bullet"/>
      <w:lvlText w:val="o"/>
      <w:lvlJc w:val="left"/>
      <w:pPr>
        <w:ind w:left="1440" w:hanging="360"/>
      </w:pPr>
      <w:rPr>
        <w:rFonts w:ascii="Courier New" w:hAnsi="Courier New" w:hint="default"/>
      </w:rPr>
    </w:lvl>
    <w:lvl w:ilvl="2" w:tplc="7E0E3D6C">
      <w:start w:val="1"/>
      <w:numFmt w:val="bullet"/>
      <w:lvlText w:val=""/>
      <w:lvlJc w:val="left"/>
      <w:pPr>
        <w:ind w:left="2160" w:hanging="360"/>
      </w:pPr>
      <w:rPr>
        <w:rFonts w:ascii="Wingdings" w:hAnsi="Wingdings" w:hint="default"/>
      </w:rPr>
    </w:lvl>
    <w:lvl w:ilvl="3" w:tplc="C5D064E2">
      <w:start w:val="1"/>
      <w:numFmt w:val="bullet"/>
      <w:lvlText w:val=""/>
      <w:lvlJc w:val="left"/>
      <w:pPr>
        <w:ind w:left="2880" w:hanging="360"/>
      </w:pPr>
      <w:rPr>
        <w:rFonts w:ascii="Symbol" w:hAnsi="Symbol" w:hint="default"/>
      </w:rPr>
    </w:lvl>
    <w:lvl w:ilvl="4" w:tplc="D1BC974E">
      <w:start w:val="1"/>
      <w:numFmt w:val="bullet"/>
      <w:lvlText w:val="o"/>
      <w:lvlJc w:val="left"/>
      <w:pPr>
        <w:ind w:left="3600" w:hanging="360"/>
      </w:pPr>
      <w:rPr>
        <w:rFonts w:ascii="Courier New" w:hAnsi="Courier New" w:hint="default"/>
      </w:rPr>
    </w:lvl>
    <w:lvl w:ilvl="5" w:tplc="F16C3CF0">
      <w:start w:val="1"/>
      <w:numFmt w:val="bullet"/>
      <w:lvlText w:val=""/>
      <w:lvlJc w:val="left"/>
      <w:pPr>
        <w:ind w:left="4320" w:hanging="360"/>
      </w:pPr>
      <w:rPr>
        <w:rFonts w:ascii="Wingdings" w:hAnsi="Wingdings" w:hint="default"/>
      </w:rPr>
    </w:lvl>
    <w:lvl w:ilvl="6" w:tplc="45BA55CC">
      <w:start w:val="1"/>
      <w:numFmt w:val="bullet"/>
      <w:lvlText w:val=""/>
      <w:lvlJc w:val="left"/>
      <w:pPr>
        <w:ind w:left="5040" w:hanging="360"/>
      </w:pPr>
      <w:rPr>
        <w:rFonts w:ascii="Symbol" w:hAnsi="Symbol" w:hint="default"/>
      </w:rPr>
    </w:lvl>
    <w:lvl w:ilvl="7" w:tplc="028C265E">
      <w:start w:val="1"/>
      <w:numFmt w:val="bullet"/>
      <w:lvlText w:val="o"/>
      <w:lvlJc w:val="left"/>
      <w:pPr>
        <w:ind w:left="5760" w:hanging="360"/>
      </w:pPr>
      <w:rPr>
        <w:rFonts w:ascii="Courier New" w:hAnsi="Courier New" w:hint="default"/>
      </w:rPr>
    </w:lvl>
    <w:lvl w:ilvl="8" w:tplc="688053AA">
      <w:start w:val="1"/>
      <w:numFmt w:val="bullet"/>
      <w:lvlText w:val=""/>
      <w:lvlJc w:val="left"/>
      <w:pPr>
        <w:ind w:left="6480" w:hanging="360"/>
      </w:pPr>
      <w:rPr>
        <w:rFonts w:ascii="Wingdings" w:hAnsi="Wingdings" w:hint="default"/>
      </w:rPr>
    </w:lvl>
  </w:abstractNum>
  <w:abstractNum w:abstractNumId="6" w15:restartNumberingAfterBreak="0">
    <w:nsid w:val="47664F38"/>
    <w:multiLevelType w:val="hybridMultilevel"/>
    <w:tmpl w:val="B5063588"/>
    <w:lvl w:ilvl="0" w:tplc="2794B488">
      <w:start w:val="1"/>
      <w:numFmt w:val="bullet"/>
      <w:lvlText w:val=""/>
      <w:lvlJc w:val="left"/>
      <w:pPr>
        <w:ind w:left="720" w:hanging="360"/>
      </w:pPr>
      <w:rPr>
        <w:rFonts w:ascii="Symbol" w:hAnsi="Symbol" w:hint="default"/>
      </w:rPr>
    </w:lvl>
    <w:lvl w:ilvl="1" w:tplc="4F46AFCC">
      <w:start w:val="1"/>
      <w:numFmt w:val="bullet"/>
      <w:lvlText w:val="o"/>
      <w:lvlJc w:val="left"/>
      <w:pPr>
        <w:ind w:left="1440" w:hanging="360"/>
      </w:pPr>
      <w:rPr>
        <w:rFonts w:ascii="Courier New" w:hAnsi="Courier New" w:hint="default"/>
      </w:rPr>
    </w:lvl>
    <w:lvl w:ilvl="2" w:tplc="92485632">
      <w:start w:val="1"/>
      <w:numFmt w:val="bullet"/>
      <w:lvlText w:val=""/>
      <w:lvlJc w:val="left"/>
      <w:pPr>
        <w:ind w:left="2160" w:hanging="360"/>
      </w:pPr>
      <w:rPr>
        <w:rFonts w:ascii="Wingdings" w:hAnsi="Wingdings" w:hint="default"/>
      </w:rPr>
    </w:lvl>
    <w:lvl w:ilvl="3" w:tplc="3E1AECE8">
      <w:start w:val="1"/>
      <w:numFmt w:val="bullet"/>
      <w:lvlText w:val=""/>
      <w:lvlJc w:val="left"/>
      <w:pPr>
        <w:ind w:left="2880" w:hanging="360"/>
      </w:pPr>
      <w:rPr>
        <w:rFonts w:ascii="Symbol" w:hAnsi="Symbol" w:hint="default"/>
      </w:rPr>
    </w:lvl>
    <w:lvl w:ilvl="4" w:tplc="07662434">
      <w:start w:val="1"/>
      <w:numFmt w:val="bullet"/>
      <w:lvlText w:val="o"/>
      <w:lvlJc w:val="left"/>
      <w:pPr>
        <w:ind w:left="3600" w:hanging="360"/>
      </w:pPr>
      <w:rPr>
        <w:rFonts w:ascii="Courier New" w:hAnsi="Courier New" w:hint="default"/>
      </w:rPr>
    </w:lvl>
    <w:lvl w:ilvl="5" w:tplc="4190BF00">
      <w:start w:val="1"/>
      <w:numFmt w:val="bullet"/>
      <w:lvlText w:val=""/>
      <w:lvlJc w:val="left"/>
      <w:pPr>
        <w:ind w:left="4320" w:hanging="360"/>
      </w:pPr>
      <w:rPr>
        <w:rFonts w:ascii="Wingdings" w:hAnsi="Wingdings" w:hint="default"/>
      </w:rPr>
    </w:lvl>
    <w:lvl w:ilvl="6" w:tplc="096E2CF4">
      <w:start w:val="1"/>
      <w:numFmt w:val="bullet"/>
      <w:lvlText w:val=""/>
      <w:lvlJc w:val="left"/>
      <w:pPr>
        <w:ind w:left="5040" w:hanging="360"/>
      </w:pPr>
      <w:rPr>
        <w:rFonts w:ascii="Symbol" w:hAnsi="Symbol" w:hint="default"/>
      </w:rPr>
    </w:lvl>
    <w:lvl w:ilvl="7" w:tplc="E290560C">
      <w:start w:val="1"/>
      <w:numFmt w:val="bullet"/>
      <w:lvlText w:val="o"/>
      <w:lvlJc w:val="left"/>
      <w:pPr>
        <w:ind w:left="5760" w:hanging="360"/>
      </w:pPr>
      <w:rPr>
        <w:rFonts w:ascii="Courier New" w:hAnsi="Courier New" w:hint="default"/>
      </w:rPr>
    </w:lvl>
    <w:lvl w:ilvl="8" w:tplc="9CB8CFEA">
      <w:start w:val="1"/>
      <w:numFmt w:val="bullet"/>
      <w:lvlText w:val=""/>
      <w:lvlJc w:val="left"/>
      <w:pPr>
        <w:ind w:left="6480" w:hanging="360"/>
      </w:pPr>
      <w:rPr>
        <w:rFonts w:ascii="Wingdings" w:hAnsi="Wingdings" w:hint="default"/>
      </w:rPr>
    </w:lvl>
  </w:abstractNum>
  <w:abstractNum w:abstractNumId="7" w15:restartNumberingAfterBreak="0">
    <w:nsid w:val="568E555D"/>
    <w:multiLevelType w:val="hybridMultilevel"/>
    <w:tmpl w:val="2E8E7A8A"/>
    <w:lvl w:ilvl="0" w:tplc="64440980">
      <w:start w:val="1"/>
      <w:numFmt w:val="bullet"/>
      <w:lvlText w:val=""/>
      <w:lvlJc w:val="left"/>
      <w:pPr>
        <w:ind w:left="720" w:hanging="360"/>
      </w:pPr>
      <w:rPr>
        <w:rFonts w:ascii="Symbol" w:hAnsi="Symbol" w:hint="default"/>
      </w:rPr>
    </w:lvl>
    <w:lvl w:ilvl="1" w:tplc="C8865018">
      <w:start w:val="1"/>
      <w:numFmt w:val="bullet"/>
      <w:lvlText w:val="o"/>
      <w:lvlJc w:val="left"/>
      <w:pPr>
        <w:ind w:left="1440" w:hanging="360"/>
      </w:pPr>
      <w:rPr>
        <w:rFonts w:ascii="Courier New" w:hAnsi="Courier New" w:hint="default"/>
      </w:rPr>
    </w:lvl>
    <w:lvl w:ilvl="2" w:tplc="23CE073C">
      <w:start w:val="1"/>
      <w:numFmt w:val="bullet"/>
      <w:lvlText w:val=""/>
      <w:lvlJc w:val="left"/>
      <w:pPr>
        <w:ind w:left="2160" w:hanging="360"/>
      </w:pPr>
      <w:rPr>
        <w:rFonts w:ascii="Wingdings" w:hAnsi="Wingdings" w:hint="default"/>
      </w:rPr>
    </w:lvl>
    <w:lvl w:ilvl="3" w:tplc="DAEAE6AA">
      <w:start w:val="1"/>
      <w:numFmt w:val="bullet"/>
      <w:lvlText w:val=""/>
      <w:lvlJc w:val="left"/>
      <w:pPr>
        <w:ind w:left="2880" w:hanging="360"/>
      </w:pPr>
      <w:rPr>
        <w:rFonts w:ascii="Symbol" w:hAnsi="Symbol" w:hint="default"/>
      </w:rPr>
    </w:lvl>
    <w:lvl w:ilvl="4" w:tplc="9290008E">
      <w:start w:val="1"/>
      <w:numFmt w:val="bullet"/>
      <w:lvlText w:val="o"/>
      <w:lvlJc w:val="left"/>
      <w:pPr>
        <w:ind w:left="3600" w:hanging="360"/>
      </w:pPr>
      <w:rPr>
        <w:rFonts w:ascii="Courier New" w:hAnsi="Courier New" w:hint="default"/>
      </w:rPr>
    </w:lvl>
    <w:lvl w:ilvl="5" w:tplc="9AC0677A">
      <w:start w:val="1"/>
      <w:numFmt w:val="bullet"/>
      <w:lvlText w:val=""/>
      <w:lvlJc w:val="left"/>
      <w:pPr>
        <w:ind w:left="4320" w:hanging="360"/>
      </w:pPr>
      <w:rPr>
        <w:rFonts w:ascii="Wingdings" w:hAnsi="Wingdings" w:hint="default"/>
      </w:rPr>
    </w:lvl>
    <w:lvl w:ilvl="6" w:tplc="4D18E51A">
      <w:start w:val="1"/>
      <w:numFmt w:val="bullet"/>
      <w:lvlText w:val=""/>
      <w:lvlJc w:val="left"/>
      <w:pPr>
        <w:ind w:left="5040" w:hanging="360"/>
      </w:pPr>
      <w:rPr>
        <w:rFonts w:ascii="Symbol" w:hAnsi="Symbol" w:hint="default"/>
      </w:rPr>
    </w:lvl>
    <w:lvl w:ilvl="7" w:tplc="C5D280EC">
      <w:start w:val="1"/>
      <w:numFmt w:val="bullet"/>
      <w:lvlText w:val="o"/>
      <w:lvlJc w:val="left"/>
      <w:pPr>
        <w:ind w:left="5760" w:hanging="360"/>
      </w:pPr>
      <w:rPr>
        <w:rFonts w:ascii="Courier New" w:hAnsi="Courier New" w:hint="default"/>
      </w:rPr>
    </w:lvl>
    <w:lvl w:ilvl="8" w:tplc="6B3652F8">
      <w:start w:val="1"/>
      <w:numFmt w:val="bullet"/>
      <w:lvlText w:val=""/>
      <w:lvlJc w:val="left"/>
      <w:pPr>
        <w:ind w:left="6480" w:hanging="360"/>
      </w:pPr>
      <w:rPr>
        <w:rFonts w:ascii="Wingdings" w:hAnsi="Wingdings" w:hint="default"/>
      </w:rPr>
    </w:lvl>
  </w:abstractNum>
  <w:abstractNum w:abstractNumId="8" w15:restartNumberingAfterBreak="0">
    <w:nsid w:val="5D1F285F"/>
    <w:multiLevelType w:val="hybridMultilevel"/>
    <w:tmpl w:val="00180952"/>
    <w:lvl w:ilvl="0" w:tplc="EEAE190E">
      <w:start w:val="1"/>
      <w:numFmt w:val="bullet"/>
      <w:lvlText w:val="-"/>
      <w:lvlJc w:val="left"/>
      <w:pPr>
        <w:ind w:left="1080" w:hanging="360"/>
      </w:pPr>
      <w:rPr>
        <w:rFonts w:ascii="Calibri" w:hAnsi="Calibri" w:hint="default"/>
      </w:rPr>
    </w:lvl>
    <w:lvl w:ilvl="1" w:tplc="97D8DBE0">
      <w:start w:val="1"/>
      <w:numFmt w:val="bullet"/>
      <w:lvlText w:val="o"/>
      <w:lvlJc w:val="left"/>
      <w:pPr>
        <w:ind w:left="1800" w:hanging="360"/>
      </w:pPr>
      <w:rPr>
        <w:rFonts w:ascii="Courier New" w:hAnsi="Courier New" w:hint="default"/>
      </w:rPr>
    </w:lvl>
    <w:lvl w:ilvl="2" w:tplc="AE58EBB4">
      <w:start w:val="1"/>
      <w:numFmt w:val="bullet"/>
      <w:lvlText w:val=""/>
      <w:lvlJc w:val="left"/>
      <w:pPr>
        <w:ind w:left="2520" w:hanging="360"/>
      </w:pPr>
      <w:rPr>
        <w:rFonts w:ascii="Wingdings" w:hAnsi="Wingdings" w:hint="default"/>
      </w:rPr>
    </w:lvl>
    <w:lvl w:ilvl="3" w:tplc="05969D7A">
      <w:start w:val="1"/>
      <w:numFmt w:val="bullet"/>
      <w:lvlText w:val=""/>
      <w:lvlJc w:val="left"/>
      <w:pPr>
        <w:ind w:left="3240" w:hanging="360"/>
      </w:pPr>
      <w:rPr>
        <w:rFonts w:ascii="Symbol" w:hAnsi="Symbol" w:hint="default"/>
      </w:rPr>
    </w:lvl>
    <w:lvl w:ilvl="4" w:tplc="D71622D8">
      <w:start w:val="1"/>
      <w:numFmt w:val="bullet"/>
      <w:lvlText w:val="o"/>
      <w:lvlJc w:val="left"/>
      <w:pPr>
        <w:ind w:left="3960" w:hanging="360"/>
      </w:pPr>
      <w:rPr>
        <w:rFonts w:ascii="Courier New" w:hAnsi="Courier New" w:hint="default"/>
      </w:rPr>
    </w:lvl>
    <w:lvl w:ilvl="5" w:tplc="09042FA4">
      <w:start w:val="1"/>
      <w:numFmt w:val="bullet"/>
      <w:lvlText w:val=""/>
      <w:lvlJc w:val="left"/>
      <w:pPr>
        <w:ind w:left="4680" w:hanging="360"/>
      </w:pPr>
      <w:rPr>
        <w:rFonts w:ascii="Wingdings" w:hAnsi="Wingdings" w:hint="default"/>
      </w:rPr>
    </w:lvl>
    <w:lvl w:ilvl="6" w:tplc="2A1CF4B2">
      <w:start w:val="1"/>
      <w:numFmt w:val="bullet"/>
      <w:lvlText w:val=""/>
      <w:lvlJc w:val="left"/>
      <w:pPr>
        <w:ind w:left="5400" w:hanging="360"/>
      </w:pPr>
      <w:rPr>
        <w:rFonts w:ascii="Symbol" w:hAnsi="Symbol" w:hint="default"/>
      </w:rPr>
    </w:lvl>
    <w:lvl w:ilvl="7" w:tplc="149E4B34">
      <w:start w:val="1"/>
      <w:numFmt w:val="bullet"/>
      <w:lvlText w:val="o"/>
      <w:lvlJc w:val="left"/>
      <w:pPr>
        <w:ind w:left="6120" w:hanging="360"/>
      </w:pPr>
      <w:rPr>
        <w:rFonts w:ascii="Courier New" w:hAnsi="Courier New" w:hint="default"/>
      </w:rPr>
    </w:lvl>
    <w:lvl w:ilvl="8" w:tplc="86084FAC">
      <w:start w:val="1"/>
      <w:numFmt w:val="bullet"/>
      <w:lvlText w:val=""/>
      <w:lvlJc w:val="left"/>
      <w:pPr>
        <w:ind w:left="6840" w:hanging="360"/>
      </w:pPr>
      <w:rPr>
        <w:rFonts w:ascii="Wingdings" w:hAnsi="Wingdings" w:hint="default"/>
      </w:rPr>
    </w:lvl>
  </w:abstractNum>
  <w:abstractNum w:abstractNumId="9" w15:restartNumberingAfterBreak="0">
    <w:nsid w:val="7AE456C5"/>
    <w:multiLevelType w:val="hybridMultilevel"/>
    <w:tmpl w:val="373E9602"/>
    <w:lvl w:ilvl="0" w:tplc="32BA86F2">
      <w:start w:val="1"/>
      <w:numFmt w:val="bullet"/>
      <w:lvlText w:val=""/>
      <w:lvlJc w:val="left"/>
      <w:pPr>
        <w:ind w:left="720" w:hanging="360"/>
      </w:pPr>
      <w:rPr>
        <w:rFonts w:ascii="Symbol" w:hAnsi="Symbol" w:hint="default"/>
      </w:rPr>
    </w:lvl>
    <w:lvl w:ilvl="1" w:tplc="8DD815D4">
      <w:start w:val="1"/>
      <w:numFmt w:val="bullet"/>
      <w:lvlText w:val="o"/>
      <w:lvlJc w:val="left"/>
      <w:pPr>
        <w:ind w:left="1440" w:hanging="360"/>
      </w:pPr>
      <w:rPr>
        <w:rFonts w:ascii="Courier New" w:hAnsi="Courier New" w:hint="default"/>
      </w:rPr>
    </w:lvl>
    <w:lvl w:ilvl="2" w:tplc="B8120406">
      <w:start w:val="1"/>
      <w:numFmt w:val="bullet"/>
      <w:lvlText w:val=""/>
      <w:lvlJc w:val="left"/>
      <w:pPr>
        <w:ind w:left="2160" w:hanging="360"/>
      </w:pPr>
      <w:rPr>
        <w:rFonts w:ascii="Wingdings" w:hAnsi="Wingdings" w:hint="default"/>
      </w:rPr>
    </w:lvl>
    <w:lvl w:ilvl="3" w:tplc="A25E6918">
      <w:start w:val="1"/>
      <w:numFmt w:val="bullet"/>
      <w:lvlText w:val=""/>
      <w:lvlJc w:val="left"/>
      <w:pPr>
        <w:ind w:left="2880" w:hanging="360"/>
      </w:pPr>
      <w:rPr>
        <w:rFonts w:ascii="Symbol" w:hAnsi="Symbol" w:hint="default"/>
      </w:rPr>
    </w:lvl>
    <w:lvl w:ilvl="4" w:tplc="3B2A1EEA">
      <w:start w:val="1"/>
      <w:numFmt w:val="bullet"/>
      <w:lvlText w:val="o"/>
      <w:lvlJc w:val="left"/>
      <w:pPr>
        <w:ind w:left="3600" w:hanging="360"/>
      </w:pPr>
      <w:rPr>
        <w:rFonts w:ascii="Courier New" w:hAnsi="Courier New" w:hint="default"/>
      </w:rPr>
    </w:lvl>
    <w:lvl w:ilvl="5" w:tplc="5F12CE0C">
      <w:start w:val="1"/>
      <w:numFmt w:val="bullet"/>
      <w:lvlText w:val=""/>
      <w:lvlJc w:val="left"/>
      <w:pPr>
        <w:ind w:left="4320" w:hanging="360"/>
      </w:pPr>
      <w:rPr>
        <w:rFonts w:ascii="Wingdings" w:hAnsi="Wingdings" w:hint="default"/>
      </w:rPr>
    </w:lvl>
    <w:lvl w:ilvl="6" w:tplc="3AF8994E">
      <w:start w:val="1"/>
      <w:numFmt w:val="bullet"/>
      <w:lvlText w:val=""/>
      <w:lvlJc w:val="left"/>
      <w:pPr>
        <w:ind w:left="5040" w:hanging="360"/>
      </w:pPr>
      <w:rPr>
        <w:rFonts w:ascii="Symbol" w:hAnsi="Symbol" w:hint="default"/>
      </w:rPr>
    </w:lvl>
    <w:lvl w:ilvl="7" w:tplc="CAB04490">
      <w:start w:val="1"/>
      <w:numFmt w:val="bullet"/>
      <w:lvlText w:val="o"/>
      <w:lvlJc w:val="left"/>
      <w:pPr>
        <w:ind w:left="5760" w:hanging="360"/>
      </w:pPr>
      <w:rPr>
        <w:rFonts w:ascii="Courier New" w:hAnsi="Courier New" w:hint="default"/>
      </w:rPr>
    </w:lvl>
    <w:lvl w:ilvl="8" w:tplc="A64C2844">
      <w:start w:val="1"/>
      <w:numFmt w:val="bullet"/>
      <w:lvlText w:val=""/>
      <w:lvlJc w:val="left"/>
      <w:pPr>
        <w:ind w:left="6480" w:hanging="360"/>
      </w:pPr>
      <w:rPr>
        <w:rFonts w:ascii="Wingdings" w:hAnsi="Wingdings" w:hint="default"/>
      </w:rPr>
    </w:lvl>
  </w:abstractNum>
  <w:abstractNum w:abstractNumId="10" w15:restartNumberingAfterBreak="0">
    <w:nsid w:val="7D125E19"/>
    <w:multiLevelType w:val="hybridMultilevel"/>
    <w:tmpl w:val="643841B4"/>
    <w:lvl w:ilvl="0" w:tplc="2154D4EA">
      <w:start w:val="1"/>
      <w:numFmt w:val="bullet"/>
      <w:lvlText w:val=""/>
      <w:lvlJc w:val="left"/>
      <w:pPr>
        <w:ind w:left="1080" w:hanging="360"/>
      </w:pPr>
      <w:rPr>
        <w:rFonts w:ascii="Symbol" w:hAnsi="Symbol" w:hint="default"/>
      </w:rPr>
    </w:lvl>
    <w:lvl w:ilvl="1" w:tplc="ACF6C8CC">
      <w:start w:val="1"/>
      <w:numFmt w:val="bullet"/>
      <w:lvlText w:val="o"/>
      <w:lvlJc w:val="left"/>
      <w:pPr>
        <w:ind w:left="1800" w:hanging="360"/>
      </w:pPr>
      <w:rPr>
        <w:rFonts w:ascii="Courier New" w:hAnsi="Courier New" w:hint="default"/>
      </w:rPr>
    </w:lvl>
    <w:lvl w:ilvl="2" w:tplc="E1E24A30">
      <w:start w:val="1"/>
      <w:numFmt w:val="bullet"/>
      <w:lvlText w:val=""/>
      <w:lvlJc w:val="left"/>
      <w:pPr>
        <w:ind w:left="2520" w:hanging="360"/>
      </w:pPr>
      <w:rPr>
        <w:rFonts w:ascii="Wingdings" w:hAnsi="Wingdings" w:hint="default"/>
      </w:rPr>
    </w:lvl>
    <w:lvl w:ilvl="3" w:tplc="7C1E2794">
      <w:start w:val="1"/>
      <w:numFmt w:val="bullet"/>
      <w:lvlText w:val=""/>
      <w:lvlJc w:val="left"/>
      <w:pPr>
        <w:ind w:left="3240" w:hanging="360"/>
      </w:pPr>
      <w:rPr>
        <w:rFonts w:ascii="Symbol" w:hAnsi="Symbol" w:hint="default"/>
      </w:rPr>
    </w:lvl>
    <w:lvl w:ilvl="4" w:tplc="C57484A2">
      <w:start w:val="1"/>
      <w:numFmt w:val="bullet"/>
      <w:lvlText w:val="o"/>
      <w:lvlJc w:val="left"/>
      <w:pPr>
        <w:ind w:left="3960" w:hanging="360"/>
      </w:pPr>
      <w:rPr>
        <w:rFonts w:ascii="Courier New" w:hAnsi="Courier New" w:hint="default"/>
      </w:rPr>
    </w:lvl>
    <w:lvl w:ilvl="5" w:tplc="D2F6D76E">
      <w:start w:val="1"/>
      <w:numFmt w:val="bullet"/>
      <w:lvlText w:val=""/>
      <w:lvlJc w:val="left"/>
      <w:pPr>
        <w:ind w:left="4680" w:hanging="360"/>
      </w:pPr>
      <w:rPr>
        <w:rFonts w:ascii="Wingdings" w:hAnsi="Wingdings" w:hint="default"/>
      </w:rPr>
    </w:lvl>
    <w:lvl w:ilvl="6" w:tplc="2D929AA2">
      <w:start w:val="1"/>
      <w:numFmt w:val="bullet"/>
      <w:lvlText w:val=""/>
      <w:lvlJc w:val="left"/>
      <w:pPr>
        <w:ind w:left="5400" w:hanging="360"/>
      </w:pPr>
      <w:rPr>
        <w:rFonts w:ascii="Symbol" w:hAnsi="Symbol" w:hint="default"/>
      </w:rPr>
    </w:lvl>
    <w:lvl w:ilvl="7" w:tplc="CA0487EA">
      <w:start w:val="1"/>
      <w:numFmt w:val="bullet"/>
      <w:lvlText w:val="o"/>
      <w:lvlJc w:val="left"/>
      <w:pPr>
        <w:ind w:left="6120" w:hanging="360"/>
      </w:pPr>
      <w:rPr>
        <w:rFonts w:ascii="Courier New" w:hAnsi="Courier New" w:hint="default"/>
      </w:rPr>
    </w:lvl>
    <w:lvl w:ilvl="8" w:tplc="B930F420">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num>
  <w:num w:numId="4">
    <w:abstractNumId w:val="10"/>
  </w:num>
  <w:num w:numId="5">
    <w:abstractNumId w:val="2"/>
  </w:num>
  <w:num w:numId="6">
    <w:abstractNumId w:val="8"/>
  </w:num>
  <w:num w:numId="7">
    <w:abstractNumId w:val="9"/>
  </w:num>
  <w:num w:numId="8">
    <w:abstractNumId w:val="3"/>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DB7"/>
    <w:rsid w:val="00000F71"/>
    <w:rsid w:val="00001F15"/>
    <w:rsid w:val="00034B9D"/>
    <w:rsid w:val="00037476"/>
    <w:rsid w:val="000411FC"/>
    <w:rsid w:val="00051AB0"/>
    <w:rsid w:val="0005558C"/>
    <w:rsid w:val="0006284D"/>
    <w:rsid w:val="00082604"/>
    <w:rsid w:val="0008305B"/>
    <w:rsid w:val="00083CB9"/>
    <w:rsid w:val="00085724"/>
    <w:rsid w:val="000877D1"/>
    <w:rsid w:val="000958C8"/>
    <w:rsid w:val="000A3B2C"/>
    <w:rsid w:val="000B39F2"/>
    <w:rsid w:val="000B5A6E"/>
    <w:rsid w:val="000B5A79"/>
    <w:rsid w:val="000C5616"/>
    <w:rsid w:val="000F062B"/>
    <w:rsid w:val="000F22FE"/>
    <w:rsid w:val="000F5722"/>
    <w:rsid w:val="00104630"/>
    <w:rsid w:val="00106BE9"/>
    <w:rsid w:val="0011524E"/>
    <w:rsid w:val="001219F7"/>
    <w:rsid w:val="00130734"/>
    <w:rsid w:val="00133D22"/>
    <w:rsid w:val="001433B8"/>
    <w:rsid w:val="001443D9"/>
    <w:rsid w:val="00156236"/>
    <w:rsid w:val="0016094B"/>
    <w:rsid w:val="00160A3B"/>
    <w:rsid w:val="00161F5C"/>
    <w:rsid w:val="00162319"/>
    <w:rsid w:val="00166CF6"/>
    <w:rsid w:val="0018126B"/>
    <w:rsid w:val="00191EE5"/>
    <w:rsid w:val="001966FB"/>
    <w:rsid w:val="001A2048"/>
    <w:rsid w:val="001A4288"/>
    <w:rsid w:val="001A477B"/>
    <w:rsid w:val="001B384B"/>
    <w:rsid w:val="001B6D29"/>
    <w:rsid w:val="001C36EA"/>
    <w:rsid w:val="001C6CF2"/>
    <w:rsid w:val="001D4A21"/>
    <w:rsid w:val="001D5611"/>
    <w:rsid w:val="001D624D"/>
    <w:rsid w:val="001D78E3"/>
    <w:rsid w:val="001E7DB9"/>
    <w:rsid w:val="0020306D"/>
    <w:rsid w:val="00216CD8"/>
    <w:rsid w:val="00224B04"/>
    <w:rsid w:val="00225B56"/>
    <w:rsid w:val="0023614E"/>
    <w:rsid w:val="002412A7"/>
    <w:rsid w:val="00242A7A"/>
    <w:rsid w:val="0027204E"/>
    <w:rsid w:val="00281160"/>
    <w:rsid w:val="0029160E"/>
    <w:rsid w:val="00291E60"/>
    <w:rsid w:val="002A03FC"/>
    <w:rsid w:val="002A18DD"/>
    <w:rsid w:val="002B253B"/>
    <w:rsid w:val="002B6742"/>
    <w:rsid w:val="002C2442"/>
    <w:rsid w:val="002C409D"/>
    <w:rsid w:val="002D1A79"/>
    <w:rsid w:val="002D43BE"/>
    <w:rsid w:val="002F059B"/>
    <w:rsid w:val="002F4639"/>
    <w:rsid w:val="0032171F"/>
    <w:rsid w:val="003254E7"/>
    <w:rsid w:val="0032792F"/>
    <w:rsid w:val="00334134"/>
    <w:rsid w:val="0034152A"/>
    <w:rsid w:val="0037441B"/>
    <w:rsid w:val="0037608A"/>
    <w:rsid w:val="003804ED"/>
    <w:rsid w:val="0038632E"/>
    <w:rsid w:val="00390712"/>
    <w:rsid w:val="00391826"/>
    <w:rsid w:val="003A0A7A"/>
    <w:rsid w:val="003A118C"/>
    <w:rsid w:val="003A2834"/>
    <w:rsid w:val="003C5CA1"/>
    <w:rsid w:val="003C70BD"/>
    <w:rsid w:val="003D0AED"/>
    <w:rsid w:val="003E0641"/>
    <w:rsid w:val="003E6B7E"/>
    <w:rsid w:val="003E70B3"/>
    <w:rsid w:val="003F35FA"/>
    <w:rsid w:val="003F414C"/>
    <w:rsid w:val="003F4AE6"/>
    <w:rsid w:val="0040261C"/>
    <w:rsid w:val="00405908"/>
    <w:rsid w:val="00406BFA"/>
    <w:rsid w:val="00434D2F"/>
    <w:rsid w:val="004365FB"/>
    <w:rsid w:val="00447F89"/>
    <w:rsid w:val="004537D3"/>
    <w:rsid w:val="00453E61"/>
    <w:rsid w:val="00455D11"/>
    <w:rsid w:val="00472445"/>
    <w:rsid w:val="0047295F"/>
    <w:rsid w:val="0047384C"/>
    <w:rsid w:val="00484508"/>
    <w:rsid w:val="004872BA"/>
    <w:rsid w:val="00495A5C"/>
    <w:rsid w:val="004A1589"/>
    <w:rsid w:val="004C268E"/>
    <w:rsid w:val="004C2846"/>
    <w:rsid w:val="004C5C01"/>
    <w:rsid w:val="004D3044"/>
    <w:rsid w:val="004E241D"/>
    <w:rsid w:val="0050165C"/>
    <w:rsid w:val="005050D3"/>
    <w:rsid w:val="00510366"/>
    <w:rsid w:val="00542B22"/>
    <w:rsid w:val="00564CC2"/>
    <w:rsid w:val="00566AC1"/>
    <w:rsid w:val="005711F8"/>
    <w:rsid w:val="005758F6"/>
    <w:rsid w:val="00580D11"/>
    <w:rsid w:val="005853FD"/>
    <w:rsid w:val="00591A7D"/>
    <w:rsid w:val="005D2787"/>
    <w:rsid w:val="005D6C18"/>
    <w:rsid w:val="005E0182"/>
    <w:rsid w:val="005E6970"/>
    <w:rsid w:val="005E7B64"/>
    <w:rsid w:val="005F0194"/>
    <w:rsid w:val="00607914"/>
    <w:rsid w:val="00610EE7"/>
    <w:rsid w:val="00611004"/>
    <w:rsid w:val="00615574"/>
    <w:rsid w:val="00622E61"/>
    <w:rsid w:val="006328CC"/>
    <w:rsid w:val="00643D98"/>
    <w:rsid w:val="00644371"/>
    <w:rsid w:val="00644682"/>
    <w:rsid w:val="0065026C"/>
    <w:rsid w:val="00652562"/>
    <w:rsid w:val="00653497"/>
    <w:rsid w:val="00662CB4"/>
    <w:rsid w:val="00666089"/>
    <w:rsid w:val="006877A6"/>
    <w:rsid w:val="00694382"/>
    <w:rsid w:val="006A0195"/>
    <w:rsid w:val="006A0242"/>
    <w:rsid w:val="006A376A"/>
    <w:rsid w:val="006A6F8D"/>
    <w:rsid w:val="006B6983"/>
    <w:rsid w:val="006C7163"/>
    <w:rsid w:val="006D260D"/>
    <w:rsid w:val="006E7434"/>
    <w:rsid w:val="006F2523"/>
    <w:rsid w:val="00701EA9"/>
    <w:rsid w:val="0070508F"/>
    <w:rsid w:val="007135AB"/>
    <w:rsid w:val="007320FC"/>
    <w:rsid w:val="0074148C"/>
    <w:rsid w:val="00757201"/>
    <w:rsid w:val="00757775"/>
    <w:rsid w:val="007707FC"/>
    <w:rsid w:val="00791F1C"/>
    <w:rsid w:val="00792CB5"/>
    <w:rsid w:val="007972B5"/>
    <w:rsid w:val="007C6AA9"/>
    <w:rsid w:val="007D09FE"/>
    <w:rsid w:val="007D191C"/>
    <w:rsid w:val="007D49E9"/>
    <w:rsid w:val="007E121A"/>
    <w:rsid w:val="007E5382"/>
    <w:rsid w:val="007E7777"/>
    <w:rsid w:val="00801E70"/>
    <w:rsid w:val="008028CE"/>
    <w:rsid w:val="008039A6"/>
    <w:rsid w:val="00823C88"/>
    <w:rsid w:val="008369F6"/>
    <w:rsid w:val="008429AA"/>
    <w:rsid w:val="008555BB"/>
    <w:rsid w:val="00856F8F"/>
    <w:rsid w:val="00875039"/>
    <w:rsid w:val="00880461"/>
    <w:rsid w:val="008900B6"/>
    <w:rsid w:val="00891893"/>
    <w:rsid w:val="008A05B2"/>
    <w:rsid w:val="008A0DC1"/>
    <w:rsid w:val="008B3DB7"/>
    <w:rsid w:val="008B7D28"/>
    <w:rsid w:val="008D30C2"/>
    <w:rsid w:val="008E1485"/>
    <w:rsid w:val="008E1C27"/>
    <w:rsid w:val="008E7AF1"/>
    <w:rsid w:val="008F7321"/>
    <w:rsid w:val="0091324E"/>
    <w:rsid w:val="00915F60"/>
    <w:rsid w:val="009318C8"/>
    <w:rsid w:val="00932DA1"/>
    <w:rsid w:val="0095128F"/>
    <w:rsid w:val="00970A0B"/>
    <w:rsid w:val="00975F76"/>
    <w:rsid w:val="009767D2"/>
    <w:rsid w:val="009900C5"/>
    <w:rsid w:val="0099752F"/>
    <w:rsid w:val="009B1FE3"/>
    <w:rsid w:val="009B4690"/>
    <w:rsid w:val="009B4FAD"/>
    <w:rsid w:val="009B7120"/>
    <w:rsid w:val="009B7D6E"/>
    <w:rsid w:val="009C0864"/>
    <w:rsid w:val="009C62A7"/>
    <w:rsid w:val="009D10BE"/>
    <w:rsid w:val="009F0773"/>
    <w:rsid w:val="009F5F1A"/>
    <w:rsid w:val="00A238CF"/>
    <w:rsid w:val="00A24544"/>
    <w:rsid w:val="00A276BE"/>
    <w:rsid w:val="00A27E2A"/>
    <w:rsid w:val="00A3399E"/>
    <w:rsid w:val="00A35F65"/>
    <w:rsid w:val="00A37031"/>
    <w:rsid w:val="00A408A6"/>
    <w:rsid w:val="00A53A2F"/>
    <w:rsid w:val="00A55A76"/>
    <w:rsid w:val="00A66A5E"/>
    <w:rsid w:val="00A73360"/>
    <w:rsid w:val="00A91C88"/>
    <w:rsid w:val="00A95DFB"/>
    <w:rsid w:val="00A9711E"/>
    <w:rsid w:val="00AA0225"/>
    <w:rsid w:val="00AA2D55"/>
    <w:rsid w:val="00AB4F14"/>
    <w:rsid w:val="00AC161E"/>
    <w:rsid w:val="00AC5AD2"/>
    <w:rsid w:val="00AE5204"/>
    <w:rsid w:val="00AF4264"/>
    <w:rsid w:val="00AF6FB0"/>
    <w:rsid w:val="00B04DD0"/>
    <w:rsid w:val="00B35EC8"/>
    <w:rsid w:val="00B46203"/>
    <w:rsid w:val="00B5111E"/>
    <w:rsid w:val="00B5448D"/>
    <w:rsid w:val="00B627A2"/>
    <w:rsid w:val="00B70D48"/>
    <w:rsid w:val="00B72605"/>
    <w:rsid w:val="00B73925"/>
    <w:rsid w:val="00B75735"/>
    <w:rsid w:val="00B76B76"/>
    <w:rsid w:val="00BB5BAB"/>
    <w:rsid w:val="00BC5A7E"/>
    <w:rsid w:val="00BD00D2"/>
    <w:rsid w:val="00BD0EF8"/>
    <w:rsid w:val="00BD2DD6"/>
    <w:rsid w:val="00BE6F89"/>
    <w:rsid w:val="00BF156B"/>
    <w:rsid w:val="00C22141"/>
    <w:rsid w:val="00C26BDD"/>
    <w:rsid w:val="00C27BAD"/>
    <w:rsid w:val="00C33805"/>
    <w:rsid w:val="00C35654"/>
    <w:rsid w:val="00C36F8B"/>
    <w:rsid w:val="00C56966"/>
    <w:rsid w:val="00C611DC"/>
    <w:rsid w:val="00C65A93"/>
    <w:rsid w:val="00C7064F"/>
    <w:rsid w:val="00C85F3E"/>
    <w:rsid w:val="00C90EAB"/>
    <w:rsid w:val="00CA3163"/>
    <w:rsid w:val="00CA4409"/>
    <w:rsid w:val="00CA5E2B"/>
    <w:rsid w:val="00CB0FB5"/>
    <w:rsid w:val="00CB5512"/>
    <w:rsid w:val="00CB656C"/>
    <w:rsid w:val="00CD7B56"/>
    <w:rsid w:val="00CE1675"/>
    <w:rsid w:val="00CE2B57"/>
    <w:rsid w:val="00CF4783"/>
    <w:rsid w:val="00CF54CC"/>
    <w:rsid w:val="00D06B45"/>
    <w:rsid w:val="00D1398C"/>
    <w:rsid w:val="00D23639"/>
    <w:rsid w:val="00D262D1"/>
    <w:rsid w:val="00D262F5"/>
    <w:rsid w:val="00D31E69"/>
    <w:rsid w:val="00D54CA2"/>
    <w:rsid w:val="00D63D1B"/>
    <w:rsid w:val="00D65A98"/>
    <w:rsid w:val="00D71BED"/>
    <w:rsid w:val="00D75313"/>
    <w:rsid w:val="00D810CD"/>
    <w:rsid w:val="00D87735"/>
    <w:rsid w:val="00D93AA4"/>
    <w:rsid w:val="00D945F7"/>
    <w:rsid w:val="00D97205"/>
    <w:rsid w:val="00DA0023"/>
    <w:rsid w:val="00DA69D1"/>
    <w:rsid w:val="00DB5606"/>
    <w:rsid w:val="00DB77A9"/>
    <w:rsid w:val="00DB7DD1"/>
    <w:rsid w:val="00DC2CFD"/>
    <w:rsid w:val="00DD50F5"/>
    <w:rsid w:val="00DE1305"/>
    <w:rsid w:val="00E002E5"/>
    <w:rsid w:val="00E06AE7"/>
    <w:rsid w:val="00E13300"/>
    <w:rsid w:val="00E142CC"/>
    <w:rsid w:val="00E16D62"/>
    <w:rsid w:val="00E2124E"/>
    <w:rsid w:val="00E21522"/>
    <w:rsid w:val="00E27CB5"/>
    <w:rsid w:val="00E32A3C"/>
    <w:rsid w:val="00E40EC2"/>
    <w:rsid w:val="00E469A2"/>
    <w:rsid w:val="00E6207F"/>
    <w:rsid w:val="00E6676D"/>
    <w:rsid w:val="00E66ADD"/>
    <w:rsid w:val="00E70D6B"/>
    <w:rsid w:val="00E749FD"/>
    <w:rsid w:val="00E8379B"/>
    <w:rsid w:val="00E856FE"/>
    <w:rsid w:val="00E90B54"/>
    <w:rsid w:val="00E93427"/>
    <w:rsid w:val="00E9596D"/>
    <w:rsid w:val="00EA550A"/>
    <w:rsid w:val="00EB326D"/>
    <w:rsid w:val="00EB6D4A"/>
    <w:rsid w:val="00EC3D1A"/>
    <w:rsid w:val="00EF1BA6"/>
    <w:rsid w:val="00EF54FD"/>
    <w:rsid w:val="00F00CEB"/>
    <w:rsid w:val="00F04A7E"/>
    <w:rsid w:val="00F0516F"/>
    <w:rsid w:val="00F11686"/>
    <w:rsid w:val="00F15D26"/>
    <w:rsid w:val="00F211B8"/>
    <w:rsid w:val="00F245CF"/>
    <w:rsid w:val="00F27966"/>
    <w:rsid w:val="00F27D88"/>
    <w:rsid w:val="00F31387"/>
    <w:rsid w:val="00F4327F"/>
    <w:rsid w:val="00F54121"/>
    <w:rsid w:val="00F62D94"/>
    <w:rsid w:val="00F70EC8"/>
    <w:rsid w:val="00F922F7"/>
    <w:rsid w:val="00F92F6F"/>
    <w:rsid w:val="00FB1048"/>
    <w:rsid w:val="00FB23E4"/>
    <w:rsid w:val="00FC1267"/>
    <w:rsid w:val="00FD44C8"/>
    <w:rsid w:val="00FE104A"/>
    <w:rsid w:val="00FE7126"/>
    <w:rsid w:val="014CEF76"/>
    <w:rsid w:val="01A0E385"/>
    <w:rsid w:val="02AAD97D"/>
    <w:rsid w:val="033BFD40"/>
    <w:rsid w:val="0354BFFB"/>
    <w:rsid w:val="037CC54F"/>
    <w:rsid w:val="0404BAEF"/>
    <w:rsid w:val="041D239B"/>
    <w:rsid w:val="04F0905C"/>
    <w:rsid w:val="05E27A3F"/>
    <w:rsid w:val="073C5BB1"/>
    <w:rsid w:val="07EB844C"/>
    <w:rsid w:val="0841597B"/>
    <w:rsid w:val="0B23250E"/>
    <w:rsid w:val="0B78FA3D"/>
    <w:rsid w:val="0D457EB6"/>
    <w:rsid w:val="0DB93894"/>
    <w:rsid w:val="0E9772A2"/>
    <w:rsid w:val="14B0DEF7"/>
    <w:rsid w:val="1506B426"/>
    <w:rsid w:val="17680860"/>
    <w:rsid w:val="1801A816"/>
    <w:rsid w:val="1984501A"/>
    <w:rsid w:val="1A0A1823"/>
    <w:rsid w:val="1A50489A"/>
    <w:rsid w:val="1AC283D3"/>
    <w:rsid w:val="1B20207B"/>
    <w:rsid w:val="1C38842B"/>
    <w:rsid w:val="1CBBF0DC"/>
    <w:rsid w:val="20153DFE"/>
    <w:rsid w:val="24A57E9A"/>
    <w:rsid w:val="27FEA383"/>
    <w:rsid w:val="292F1348"/>
    <w:rsid w:val="2AF625A3"/>
    <w:rsid w:val="2D2FD75B"/>
    <w:rsid w:val="2DF265DC"/>
    <w:rsid w:val="2E327745"/>
    <w:rsid w:val="2FCE47A6"/>
    <w:rsid w:val="329948BC"/>
    <w:rsid w:val="32C52059"/>
    <w:rsid w:val="33B821CA"/>
    <w:rsid w:val="36231F35"/>
    <w:rsid w:val="363E4A68"/>
    <w:rsid w:val="36D31A29"/>
    <w:rsid w:val="3855C22D"/>
    <w:rsid w:val="39F1928E"/>
    <w:rsid w:val="3A68ECDF"/>
    <w:rsid w:val="3ACFCC9C"/>
    <w:rsid w:val="3FBC661C"/>
    <w:rsid w:val="413F0E20"/>
    <w:rsid w:val="42B75A0C"/>
    <w:rsid w:val="4369F75E"/>
    <w:rsid w:val="45D5D271"/>
    <w:rsid w:val="4C89AE4D"/>
    <w:rsid w:val="4D444F48"/>
    <w:rsid w:val="4EE01FA9"/>
    <w:rsid w:val="545025DA"/>
    <w:rsid w:val="5494C032"/>
    <w:rsid w:val="5599BDFC"/>
    <w:rsid w:val="57CC60F4"/>
    <w:rsid w:val="5B1A5E81"/>
    <w:rsid w:val="5CB62EE2"/>
    <w:rsid w:val="5F819DAA"/>
    <w:rsid w:val="5FEDCFA4"/>
    <w:rsid w:val="609A015A"/>
    <w:rsid w:val="67F80DA3"/>
    <w:rsid w:val="681338D6"/>
    <w:rsid w:val="68AF3D81"/>
    <w:rsid w:val="6B168608"/>
    <w:rsid w:val="6CB25669"/>
    <w:rsid w:val="6CD44032"/>
    <w:rsid w:val="6CF3321B"/>
    <w:rsid w:val="6E701093"/>
    <w:rsid w:val="7264019A"/>
    <w:rsid w:val="734381B6"/>
    <w:rsid w:val="73FFD1FB"/>
    <w:rsid w:val="7501304D"/>
    <w:rsid w:val="77BF358C"/>
    <w:rsid w:val="795B05ED"/>
    <w:rsid w:val="7A3266AD"/>
    <w:rsid w:val="7A96F195"/>
    <w:rsid w:val="7C3B97F8"/>
    <w:rsid w:val="7D6A076F"/>
    <w:rsid w:val="7E6942C2"/>
    <w:rsid w:val="7F580D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08905"/>
  <w15:docId w15:val="{76E2C311-815F-4ECE-95E5-078CF7B6E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11E"/>
    <w:pPr>
      <w:spacing w:after="200" w:line="276" w:lineRule="auto"/>
    </w:pPr>
    <w:rPr>
      <w:sz w:val="22"/>
      <w:szCs w:val="22"/>
      <w:lang w:eastAsia="en-US"/>
    </w:rPr>
  </w:style>
  <w:style w:type="paragraph" w:styleId="Heading1">
    <w:name w:val="heading 1"/>
    <w:basedOn w:val="Normal"/>
    <w:next w:val="Normal"/>
    <w:link w:val="Heading1Char"/>
    <w:uiPriority w:val="9"/>
    <w:qFormat/>
    <w:rsid w:val="00160A3B"/>
    <w:pPr>
      <w:keepNext/>
      <w:keepLines/>
      <w:spacing w:before="360" w:after="100"/>
      <w:outlineLvl w:val="0"/>
    </w:pPr>
    <w:rPr>
      <w:rFonts w:ascii="Arial" w:eastAsia="Times New Roman" w:hAnsi="Arial"/>
      <w:b/>
      <w:bCs/>
      <w:color w:val="1F497D" w:themeColor="text2"/>
      <w:sz w:val="40"/>
      <w:szCs w:val="28"/>
    </w:rPr>
  </w:style>
  <w:style w:type="paragraph" w:styleId="Heading2">
    <w:name w:val="heading 2"/>
    <w:basedOn w:val="Heading1"/>
    <w:next w:val="BodyText"/>
    <w:link w:val="Heading2Char"/>
    <w:uiPriority w:val="9"/>
    <w:unhideWhenUsed/>
    <w:qFormat/>
    <w:rsid w:val="00CF54CC"/>
    <w:pPr>
      <w:spacing w:before="240" w:after="120"/>
      <w:outlineLvl w:val="1"/>
    </w:pPr>
    <w:rPr>
      <w:bCs w:val="0"/>
      <w:sz w:val="32"/>
      <w:szCs w:val="26"/>
    </w:rPr>
  </w:style>
  <w:style w:type="paragraph" w:styleId="Heading3">
    <w:name w:val="heading 3"/>
    <w:basedOn w:val="Heading2"/>
    <w:next w:val="BodyText"/>
    <w:link w:val="Heading3Char"/>
    <w:uiPriority w:val="9"/>
    <w:unhideWhenUsed/>
    <w:qFormat/>
    <w:rsid w:val="00160A3B"/>
    <w:pPr>
      <w:spacing w:before="120"/>
      <w:outlineLvl w:val="2"/>
    </w:pPr>
    <w:rPr>
      <w:rFonts w:eastAsiaTheme="majorEastAsia" w:cstheme="majorBidi"/>
      <w:sz w:val="28"/>
      <w:szCs w:val="24"/>
    </w:rPr>
  </w:style>
  <w:style w:type="paragraph" w:styleId="Heading4">
    <w:name w:val="heading 4"/>
    <w:basedOn w:val="Heading5"/>
    <w:next w:val="BodyText"/>
    <w:link w:val="Heading4Char"/>
    <w:autoRedefine/>
    <w:uiPriority w:val="9"/>
    <w:unhideWhenUsed/>
    <w:qFormat/>
    <w:rsid w:val="005E6970"/>
    <w:pPr>
      <w:outlineLvl w:val="3"/>
    </w:pPr>
    <w:rPr>
      <w:iCs/>
    </w:rPr>
  </w:style>
  <w:style w:type="paragraph" w:styleId="Heading5">
    <w:name w:val="heading 5"/>
    <w:basedOn w:val="Normal"/>
    <w:next w:val="Normal"/>
    <w:link w:val="Heading5Char"/>
    <w:autoRedefine/>
    <w:uiPriority w:val="9"/>
    <w:unhideWhenUsed/>
    <w:qFormat/>
    <w:rsid w:val="00622E61"/>
    <w:pPr>
      <w:keepNext/>
      <w:keepLines/>
      <w:spacing w:before="240" w:after="120"/>
      <w:outlineLvl w:val="4"/>
    </w:pPr>
    <w:rPr>
      <w:rFonts w:ascii="Arial" w:eastAsiaTheme="majorEastAsia" w:hAnsi="Arial" w:cstheme="majorBidi"/>
      <w:i/>
      <w:color w:val="1F497D"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0A3B"/>
    <w:rPr>
      <w:rFonts w:ascii="Arial" w:eastAsia="Times New Roman" w:hAnsi="Arial"/>
      <w:b/>
      <w:bCs/>
      <w:color w:val="1F497D" w:themeColor="text2"/>
      <w:sz w:val="40"/>
      <w:szCs w:val="28"/>
      <w:lang w:eastAsia="en-US"/>
    </w:rPr>
  </w:style>
  <w:style w:type="character" w:customStyle="1" w:styleId="Heading2Char">
    <w:name w:val="Heading 2 Char"/>
    <w:link w:val="Heading2"/>
    <w:uiPriority w:val="9"/>
    <w:rsid w:val="00CF54CC"/>
    <w:rPr>
      <w:rFonts w:ascii="Arial" w:eastAsia="Times New Roman" w:hAnsi="Arial"/>
      <w:b/>
      <w:color w:val="1F497D" w:themeColor="text2"/>
      <w:sz w:val="32"/>
      <w:szCs w:val="26"/>
      <w:lang w:eastAsia="en-US"/>
    </w:rPr>
  </w:style>
  <w:style w:type="paragraph" w:styleId="BalloonText">
    <w:name w:val="Balloon Text"/>
    <w:basedOn w:val="Normal"/>
    <w:link w:val="BalloonTextChar"/>
    <w:uiPriority w:val="99"/>
    <w:semiHidden/>
    <w:unhideWhenUsed/>
    <w:rsid w:val="007135A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135AB"/>
    <w:rPr>
      <w:rFonts w:ascii="Tahoma" w:hAnsi="Tahoma" w:cs="Tahoma"/>
      <w:sz w:val="16"/>
      <w:szCs w:val="16"/>
    </w:rPr>
  </w:style>
  <w:style w:type="paragraph" w:styleId="Header">
    <w:name w:val="header"/>
    <w:basedOn w:val="Normal"/>
    <w:link w:val="HeaderChar"/>
    <w:uiPriority w:val="99"/>
    <w:unhideWhenUsed/>
    <w:rsid w:val="00713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5AB"/>
  </w:style>
  <w:style w:type="paragraph" w:styleId="Footer">
    <w:name w:val="footer"/>
    <w:basedOn w:val="Normal"/>
    <w:link w:val="FooterChar"/>
    <w:uiPriority w:val="99"/>
    <w:unhideWhenUsed/>
    <w:rsid w:val="00713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35AB"/>
  </w:style>
  <w:style w:type="character" w:styleId="Hyperlink">
    <w:name w:val="Hyperlink"/>
    <w:uiPriority w:val="99"/>
    <w:unhideWhenUsed/>
    <w:rsid w:val="00C56966"/>
    <w:rPr>
      <w:color w:val="0000FF"/>
      <w:u w:val="single"/>
    </w:rPr>
  </w:style>
  <w:style w:type="paragraph" w:customStyle="1" w:styleId="NoParagraphStyle">
    <w:name w:val="[No Paragraph Style]"/>
    <w:rsid w:val="00C611DC"/>
    <w:pPr>
      <w:autoSpaceDE w:val="0"/>
      <w:autoSpaceDN w:val="0"/>
      <w:adjustRightInd w:val="0"/>
      <w:spacing w:line="288" w:lineRule="auto"/>
      <w:textAlignment w:val="center"/>
    </w:pPr>
    <w:rPr>
      <w:rFonts w:ascii="Minion Pro" w:hAnsi="Minion Pro" w:cs="Minion Pro"/>
      <w:color w:val="000000"/>
      <w:sz w:val="24"/>
      <w:szCs w:val="24"/>
      <w:lang w:val="en-US"/>
    </w:rPr>
  </w:style>
  <w:style w:type="character" w:customStyle="1" w:styleId="Heading3Char">
    <w:name w:val="Heading 3 Char"/>
    <w:basedOn w:val="DefaultParagraphFont"/>
    <w:link w:val="Heading3"/>
    <w:uiPriority w:val="9"/>
    <w:rsid w:val="00CF54CC"/>
    <w:rPr>
      <w:rFonts w:ascii="Arial" w:eastAsiaTheme="majorEastAsia" w:hAnsi="Arial" w:cstheme="majorBidi"/>
      <w:b/>
      <w:bCs/>
      <w:color w:val="1F497D" w:themeColor="text2"/>
      <w:sz w:val="28"/>
      <w:szCs w:val="24"/>
      <w:lang w:eastAsia="en-US"/>
    </w:rPr>
  </w:style>
  <w:style w:type="character" w:customStyle="1" w:styleId="Heading4Char">
    <w:name w:val="Heading 4 Char"/>
    <w:basedOn w:val="DefaultParagraphFont"/>
    <w:link w:val="Heading4"/>
    <w:uiPriority w:val="9"/>
    <w:rsid w:val="005E6970"/>
    <w:rPr>
      <w:rFonts w:ascii="Arial" w:eastAsiaTheme="majorEastAsia" w:hAnsi="Arial" w:cstheme="majorBidi"/>
      <w:i/>
      <w:iCs/>
      <w:color w:val="1F497D" w:themeColor="text2"/>
      <w:sz w:val="24"/>
      <w:szCs w:val="22"/>
      <w:lang w:eastAsia="en-US"/>
    </w:rPr>
  </w:style>
  <w:style w:type="paragraph" w:customStyle="1" w:styleId="IEABodyText">
    <w:name w:val="IEA_Body_Text"/>
    <w:basedOn w:val="Normal"/>
    <w:qFormat/>
    <w:rsid w:val="000F22FE"/>
    <w:pPr>
      <w:spacing w:before="200" w:after="0" w:line="264" w:lineRule="auto"/>
      <w:ind w:left="851"/>
    </w:pPr>
    <w:rPr>
      <w:rFonts w:ascii="Segoe UI" w:hAnsi="Segoe UI" w:cs="Segoe UI"/>
    </w:rPr>
  </w:style>
  <w:style w:type="character" w:customStyle="1" w:styleId="Heading5Char">
    <w:name w:val="Heading 5 Char"/>
    <w:basedOn w:val="DefaultParagraphFont"/>
    <w:link w:val="Heading5"/>
    <w:uiPriority w:val="9"/>
    <w:rsid w:val="00622E61"/>
    <w:rPr>
      <w:rFonts w:ascii="Arial" w:eastAsiaTheme="majorEastAsia" w:hAnsi="Arial" w:cstheme="majorBidi"/>
      <w:i/>
      <w:color w:val="1F497D" w:themeColor="text2"/>
      <w:sz w:val="24"/>
      <w:szCs w:val="22"/>
      <w:lang w:eastAsia="en-US"/>
    </w:rPr>
  </w:style>
  <w:style w:type="paragraph" w:styleId="BodyText">
    <w:name w:val="Body Text"/>
    <w:basedOn w:val="Normal"/>
    <w:link w:val="BodyTextChar"/>
    <w:uiPriority w:val="99"/>
    <w:semiHidden/>
    <w:unhideWhenUsed/>
    <w:rsid w:val="00CF54CC"/>
    <w:pPr>
      <w:spacing w:after="120"/>
    </w:pPr>
  </w:style>
  <w:style w:type="character" w:customStyle="1" w:styleId="BodyTextChar">
    <w:name w:val="Body Text Char"/>
    <w:basedOn w:val="DefaultParagraphFont"/>
    <w:link w:val="BodyText"/>
    <w:uiPriority w:val="99"/>
    <w:semiHidden/>
    <w:rsid w:val="00CF54CC"/>
    <w:rPr>
      <w:sz w:val="22"/>
      <w:szCs w:val="22"/>
      <w:lang w:eastAsia="en-US"/>
    </w:rPr>
  </w:style>
  <w:style w:type="paragraph" w:styleId="Title">
    <w:name w:val="Title"/>
    <w:basedOn w:val="Normal"/>
    <w:next w:val="Normal"/>
    <w:link w:val="TitleChar"/>
    <w:uiPriority w:val="10"/>
    <w:qFormat/>
    <w:rsid w:val="008B3D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DB7"/>
    <w:rPr>
      <w:rFonts w:asciiTheme="majorHAnsi" w:eastAsiaTheme="majorEastAsia" w:hAnsiTheme="majorHAnsi" w:cstheme="majorBidi"/>
      <w:spacing w:val="-10"/>
      <w:kern w:val="28"/>
      <w:sz w:val="56"/>
      <w:szCs w:val="56"/>
      <w:lang w:eastAsia="en-U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CF4783"/>
    <w:rPr>
      <w:sz w:val="16"/>
      <w:szCs w:val="16"/>
    </w:rPr>
  </w:style>
  <w:style w:type="paragraph" w:styleId="CommentText">
    <w:name w:val="annotation text"/>
    <w:basedOn w:val="Normal"/>
    <w:link w:val="CommentTextChar"/>
    <w:uiPriority w:val="99"/>
    <w:semiHidden/>
    <w:unhideWhenUsed/>
    <w:rsid w:val="00CF4783"/>
    <w:pPr>
      <w:spacing w:line="240" w:lineRule="auto"/>
    </w:pPr>
    <w:rPr>
      <w:sz w:val="20"/>
      <w:szCs w:val="20"/>
    </w:rPr>
  </w:style>
  <w:style w:type="character" w:customStyle="1" w:styleId="CommentTextChar">
    <w:name w:val="Comment Text Char"/>
    <w:basedOn w:val="DefaultParagraphFont"/>
    <w:link w:val="CommentText"/>
    <w:uiPriority w:val="99"/>
    <w:semiHidden/>
    <w:rsid w:val="00CF4783"/>
    <w:rPr>
      <w:lang w:eastAsia="en-US"/>
    </w:rPr>
  </w:style>
  <w:style w:type="paragraph" w:styleId="CommentSubject">
    <w:name w:val="annotation subject"/>
    <w:basedOn w:val="CommentText"/>
    <w:next w:val="CommentText"/>
    <w:link w:val="CommentSubjectChar"/>
    <w:uiPriority w:val="99"/>
    <w:semiHidden/>
    <w:unhideWhenUsed/>
    <w:rsid w:val="00CF4783"/>
    <w:rPr>
      <w:b/>
      <w:bCs/>
    </w:rPr>
  </w:style>
  <w:style w:type="character" w:customStyle="1" w:styleId="CommentSubjectChar">
    <w:name w:val="Comment Subject Char"/>
    <w:basedOn w:val="CommentTextChar"/>
    <w:link w:val="CommentSubject"/>
    <w:uiPriority w:val="99"/>
    <w:semiHidden/>
    <w:rsid w:val="00CF478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9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learning.iea.org/courses/course-v1:InternationalEnergyAgency+EPM1+Open/course/" TargetMode="External"/><Relationship Id="rId18" Type="http://schemas.openxmlformats.org/officeDocument/2006/relationships/hyperlink" Target="https://elearning.iea.org/courses/course-v1:InternationalEnergyAgency+EPM1+Open/course/" TargetMode="External"/><Relationship Id="rId26" Type="http://schemas.openxmlformats.org/officeDocument/2006/relationships/hyperlink" Target="https://elearning.iea.org/courses/course-v1:InternationalEnergyAgency+EPM1+Open/course/" TargetMode="External"/><Relationship Id="rId39" Type="http://schemas.openxmlformats.org/officeDocument/2006/relationships/hyperlink" Target="https://elearning.iea.org/courses/course-v1:InternationalEnergyAgency+EPM1+Open/courseware/bc3fcc6ece1b40998673e20dd65731c2/6c0462a2f4df41a386e43cc601c596e6/?activate_block_id=block-v1%3AInternationalEnergyAgency%2BEPM1%2BOpen%2Btype%40sequential%2Bblock%406c0462a2f4df41a386e43cc601c596e6" TargetMode="External"/><Relationship Id="rId21" Type="http://schemas.openxmlformats.org/officeDocument/2006/relationships/hyperlink" Target="https://elearning.iea.org/courses/course-v1:InternationalEnergyAgency+EPM1+Open/course/" TargetMode="External"/><Relationship Id="rId34" Type="http://schemas.openxmlformats.org/officeDocument/2006/relationships/hyperlink" Target="https://elearning.iea.org/courses/course-v1:InternationalEnergyAgency+EPM1+Open/course/"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learning.iea.org/courses/course-v1:InternationalEnergyAgency+EPM1+Open/course/" TargetMode="External"/><Relationship Id="rId20" Type="http://schemas.openxmlformats.org/officeDocument/2006/relationships/hyperlink" Target="https://elearning.iea.org/courses/course-v1:InternationalEnergyAgency+EPM1+Open/course/" TargetMode="External"/><Relationship Id="rId29" Type="http://schemas.openxmlformats.org/officeDocument/2006/relationships/hyperlink" Target="https://elearning.iea.org/courses/course-v1:InternationalEnergyAgency+EPM1+Open/cours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learning.iea.org/courses/course-v1:InternationalEnergyAgency+EPM1+Open/course/" TargetMode="External"/><Relationship Id="rId24" Type="http://schemas.openxmlformats.org/officeDocument/2006/relationships/hyperlink" Target="https://elearning.iea.org/courses/course-v1:InternationalEnergyAgency+EPM1+Open/course/" TargetMode="External"/><Relationship Id="rId32" Type="http://schemas.openxmlformats.org/officeDocument/2006/relationships/hyperlink" Target="https://elearning.iea.org/courses/course-v1:InternationalEnergyAgency+EPM1+Open/course/" TargetMode="External"/><Relationship Id="rId37" Type="http://schemas.openxmlformats.org/officeDocument/2006/relationships/hyperlink" Target="https://elearning.iea.org/courses/course-v1:InternationalEnergyAgency+EPM1+Open/courseware/bc3fcc6ece1b40998673e20dd65731c2/5a8de9d7580c481096cdaac303344597/?activate_block_id=block-v1%3AInternationalEnergyAgency%2BEPM1%2BOpen%2Btype%40sequential%2Bblock%405a8de9d7580c481096cdaac303344597"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learning.iea.org/courses/course-v1:InternationalEnergyAgency+EPM1+Open/course/" TargetMode="External"/><Relationship Id="rId23" Type="http://schemas.openxmlformats.org/officeDocument/2006/relationships/hyperlink" Target="https://elearning.iea.org/courses/course-v1:InternationalEnergyAgency+EPM1+Open/course/" TargetMode="External"/><Relationship Id="rId28" Type="http://schemas.openxmlformats.org/officeDocument/2006/relationships/hyperlink" Target="https://elearning.iea.org/courses/course-v1:InternationalEnergyAgency+EPM1+Open/course/" TargetMode="External"/><Relationship Id="rId36" Type="http://schemas.openxmlformats.org/officeDocument/2006/relationships/hyperlink" Target="https://elearning.iea.org/courses/course-v1:InternationalEnergyAgency+EPM1+Open/courseware/bc3fcc6ece1b40998673e20dd65731c2/5a8de9d7580c481096cdaac303344597/?activate_block_id=block-v1%3AInternationalEnergyAgency%2BEPM1%2BOpen%2Btype%40sequential%2Bblock%405a8de9d7580c481096cdaac303344597" TargetMode="Externa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hyperlink" Target="https://elearning.iea.org/courses/course-v1:InternationalEnergyAgency+EPM1+Open/cour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learning.iea.org/courses/course-v1:InternationalEnergyAgency+EPM1+Open/course/" TargetMode="External"/><Relationship Id="rId22" Type="http://schemas.openxmlformats.org/officeDocument/2006/relationships/hyperlink" Target="https://elearning.iea.org/courses/course-v1:InternationalEnergyAgency+EPM1+Open/course/" TargetMode="External"/><Relationship Id="rId27" Type="http://schemas.openxmlformats.org/officeDocument/2006/relationships/hyperlink" Target="https://elearning.iea.org/courses/course-v1:InternationalEnergyAgency+EPM1+Open/course/" TargetMode="External"/><Relationship Id="rId30" Type="http://schemas.openxmlformats.org/officeDocument/2006/relationships/hyperlink" Target="https://elearning.iea.org/courses/course-v1:InternationalEnergyAgency+EPM1+Open/course/" TargetMode="External"/><Relationship Id="rId35" Type="http://schemas.openxmlformats.org/officeDocument/2006/relationships/hyperlink" Target="https://elearning.iea.org/courses/course-v1:InternationalEnergyAgency+EPM1+Open/cours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elearning.iea.org/courses/course-v1:InternationalEnergyAgency+EPM1+Open/course/" TargetMode="External"/><Relationship Id="rId17" Type="http://schemas.openxmlformats.org/officeDocument/2006/relationships/hyperlink" Target="https://elearning.iea.org/courses/course-v1:InternationalEnergyAgency+EPM1+Open/course/" TargetMode="External"/><Relationship Id="rId25" Type="http://schemas.openxmlformats.org/officeDocument/2006/relationships/hyperlink" Target="https://elearning.iea.org/courses/course-v1:InternationalEnergyAgency+EPM1+Open/course/" TargetMode="External"/><Relationship Id="rId33" Type="http://schemas.openxmlformats.org/officeDocument/2006/relationships/hyperlink" Target="https://elearning.iea.org/courses/course-v1:InternationalEnergyAgency+EPM1+Open/course/" TargetMode="External"/><Relationship Id="rId3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vfiler1\group0\sys\winapps\Office2010\Templates\0_IEA%20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7F6DA1F2C4F0468EBDD58FE3C14EB7" ma:contentTypeVersion="13" ma:contentTypeDescription="Create a new document." ma:contentTypeScope="" ma:versionID="604eacd21417478ecdf390304dda203f">
  <xsd:schema xmlns:xsd="http://www.w3.org/2001/XMLSchema" xmlns:xs="http://www.w3.org/2001/XMLSchema" xmlns:p="http://schemas.microsoft.com/office/2006/metadata/properties" xmlns:ns2="f410d477-8a0a-4213-a179-6ad2b44ef71f" xmlns:ns3="25b8d2fa-5517-40bc-803e-ccddceb62029" targetNamespace="http://schemas.microsoft.com/office/2006/metadata/properties" ma:root="true" ma:fieldsID="0146e6c84528d010d4fb01330ce4bfe3" ns2:_="" ns3:_="">
    <xsd:import namespace="f410d477-8a0a-4213-a179-6ad2b44ef71f"/>
    <xsd:import namespace="25b8d2fa-5517-40bc-803e-ccddceb620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0d477-8a0a-4213-a179-6ad2b44ef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5b8d2fa-5517-40bc-803e-ccddceb6202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683C5C-10CF-4BE5-96A2-8035D57101B9}">
  <ds:schemaRefs>
    <ds:schemaRef ds:uri="http://schemas.microsoft.com/sharepoint/v3/contenttype/forms"/>
  </ds:schemaRefs>
</ds:datastoreItem>
</file>

<file path=customXml/itemProps2.xml><?xml version="1.0" encoding="utf-8"?>
<ds:datastoreItem xmlns:ds="http://schemas.openxmlformats.org/officeDocument/2006/customXml" ds:itemID="{DEC5DB72-5D97-45DA-85D5-9CC4198A3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10d477-8a0a-4213-a179-6ad2b44ef71f"/>
    <ds:schemaRef ds:uri="25b8d2fa-5517-40bc-803e-ccddceb62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C2BAD9-5B7E-48EC-A43C-9BAE02E187FA}">
  <ds:schemaRefs>
    <ds:schemaRef ds:uri="http://schemas.openxmlformats.org/officeDocument/2006/bibliography"/>
  </ds:schemaRefs>
</ds:datastoreItem>
</file>

<file path=customXml/itemProps4.xml><?xml version="1.0" encoding="utf-8"?>
<ds:datastoreItem xmlns:ds="http://schemas.openxmlformats.org/officeDocument/2006/customXml" ds:itemID="{B7E970FB-B366-4D2D-9F42-CC74635774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0_IEA Document.dotx</Template>
  <TotalTime>7</TotalTime>
  <Pages>6</Pages>
  <Words>1855</Words>
  <Characters>10575</Characters>
  <Application>Microsoft Office Word</Application>
  <DocSecurity>0</DocSecurity>
  <Lines>88</Lines>
  <Paragraphs>24</Paragraphs>
  <ScaleCrop>false</ScaleCrop>
  <Company>International Energy Agency</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CAMARASA Clara, IEA/EMS/EEFD</dc:creator>
  <cp:lastModifiedBy>PRIDMORE Alison, IEA/EMS/EEFD</cp:lastModifiedBy>
  <cp:revision>4</cp:revision>
  <cp:lastPrinted>2019-06-12T10:26:00Z</cp:lastPrinted>
  <dcterms:created xsi:type="dcterms:W3CDTF">2022-04-28T10:28:00Z</dcterms:created>
  <dcterms:modified xsi:type="dcterms:W3CDTF">2022-05-05T09:07:00Z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0x0101009F7F6DA1F2C4F0468EBDD58FE3C14EB7</vt:lpwstr>
  </property>
</Properties>
</file>