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8C73" w14:textId="09D56BD5" w:rsidR="00586628" w:rsidRPr="005442D4" w:rsidRDefault="00F004D8" w:rsidP="00A201DF">
      <w:pPr>
        <w:pStyle w:val="BodyText"/>
        <w:spacing w:line="220" w:lineRule="atLeast"/>
        <w:jc w:val="center"/>
        <w:rPr>
          <w:b/>
          <w:bCs/>
        </w:rPr>
      </w:pPr>
      <w:r>
        <w:rPr>
          <w:b/>
          <w:bCs/>
        </w:rPr>
        <w:t>Energy Innovation Forum</w:t>
      </w:r>
      <w:r w:rsidR="005442D4" w:rsidRPr="005442D4">
        <w:rPr>
          <w:b/>
          <w:bCs/>
        </w:rPr>
        <w:t xml:space="preserve"> Privacy Notice</w:t>
      </w:r>
    </w:p>
    <w:p w14:paraId="616C591A" w14:textId="77777777" w:rsidR="007853D1" w:rsidRDefault="007853D1" w:rsidP="006F670F">
      <w:pPr>
        <w:pStyle w:val="BodyText"/>
        <w:spacing w:line="220" w:lineRule="atLeast"/>
        <w:rPr>
          <w:b/>
          <w:sz w:val="24"/>
        </w:rPr>
      </w:pPr>
    </w:p>
    <w:p w14:paraId="1AA0F152" w14:textId="02EDA7B4" w:rsidR="00586628" w:rsidRDefault="00240624" w:rsidP="006F670F">
      <w:pPr>
        <w:spacing w:line="220" w:lineRule="atLeast"/>
        <w:ind w:right="102"/>
        <w:jc w:val="both"/>
        <w:rPr>
          <w:i/>
        </w:rPr>
      </w:pPr>
      <w: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11">
        <w:r w:rsidRPr="000E0A0A">
          <w:rPr>
            <w:u w:val="single"/>
          </w:rPr>
          <w:t>Data</w:t>
        </w:r>
        <w:r w:rsidRPr="000E0A0A">
          <w:rPr>
            <w:spacing w:val="-11"/>
            <w:u w:val="single"/>
          </w:rPr>
          <w:t xml:space="preserve"> </w:t>
        </w:r>
        <w:r w:rsidRPr="000E0A0A">
          <w:rPr>
            <w:u w:val="single"/>
          </w:rPr>
          <w:t>Protection</w:t>
        </w:r>
        <w:r w:rsidRPr="000E0A0A">
          <w:rPr>
            <w:spacing w:val="-6"/>
            <w:u w:val="single"/>
          </w:rPr>
          <w:t xml:space="preserve"> </w:t>
        </w:r>
        <w:r w:rsidRPr="000E0A0A">
          <w:rPr>
            <w:u w:val="single"/>
          </w:rPr>
          <w:t>Notice</w:t>
        </w:r>
        <w:r w:rsidRPr="000E0A0A">
          <w:rPr>
            <w:spacing w:val="-9"/>
            <w:u w:val="single"/>
          </w:rPr>
          <w:t xml:space="preserve"> </w:t>
        </w:r>
        <w:r w:rsidRPr="000E0A0A">
          <w:rPr>
            <w:u w:val="single"/>
          </w:rPr>
          <w:t>regarding</w:t>
        </w:r>
        <w:r w:rsidRPr="000E0A0A">
          <w:rPr>
            <w:spacing w:val="-6"/>
            <w:u w:val="single"/>
          </w:rPr>
          <w:t xml:space="preserve"> </w:t>
        </w:r>
        <w:r w:rsidRPr="000E0A0A">
          <w:rPr>
            <w:u w:val="single"/>
          </w:rPr>
          <w:t>Visitors</w:t>
        </w:r>
        <w:r w:rsidRPr="000E0A0A">
          <w:rPr>
            <w:spacing w:val="-8"/>
            <w:u w:val="single"/>
          </w:rPr>
          <w:t xml:space="preserve"> </w:t>
        </w:r>
        <w:r w:rsidRPr="000E0A0A">
          <w:rPr>
            <w:u w:val="single"/>
          </w:rPr>
          <w:t>to</w:t>
        </w:r>
        <w:r w:rsidRPr="000E0A0A">
          <w:rPr>
            <w:spacing w:val="-9"/>
            <w:u w:val="single"/>
          </w:rPr>
          <w:t xml:space="preserve"> </w:t>
        </w:r>
        <w:r w:rsidRPr="000E0A0A">
          <w:rPr>
            <w:u w:val="single"/>
          </w:rPr>
          <w:t>the</w:t>
        </w:r>
        <w:r w:rsidRPr="000E0A0A">
          <w:rPr>
            <w:spacing w:val="-9"/>
            <w:u w:val="single"/>
          </w:rPr>
          <w:t xml:space="preserve"> </w:t>
        </w:r>
        <w:r w:rsidRPr="000E0A0A">
          <w:rPr>
            <w:u w:val="single"/>
          </w:rPr>
          <w:t>IEA</w:t>
        </w:r>
        <w:r w:rsidRPr="000E0A0A">
          <w:rPr>
            <w:spacing w:val="-7"/>
            <w:u w:val="single"/>
          </w:rPr>
          <w:t xml:space="preserve"> </w:t>
        </w:r>
        <w:r w:rsidRPr="000E0A0A">
          <w:rPr>
            <w:u w:val="single"/>
          </w:rPr>
          <w:t>and</w:t>
        </w:r>
        <w:r w:rsidRPr="000E0A0A">
          <w:rPr>
            <w:spacing w:val="-6"/>
            <w:u w:val="single"/>
          </w:rPr>
          <w:t xml:space="preserve"> </w:t>
        </w:r>
        <w:r w:rsidRPr="000E0A0A">
          <w:rPr>
            <w:u w:val="single"/>
          </w:rPr>
          <w:t>IEA</w:t>
        </w:r>
        <w:r w:rsidRPr="000E0A0A">
          <w:rPr>
            <w:spacing w:val="-7"/>
            <w:u w:val="single"/>
          </w:rPr>
          <w:t xml:space="preserve"> </w:t>
        </w:r>
        <w:r w:rsidRPr="000E0A0A">
          <w:rPr>
            <w:u w:val="single"/>
          </w:rPr>
          <w:t>Event</w:t>
        </w:r>
        <w:r w:rsidRPr="000E0A0A">
          <w:rPr>
            <w:spacing w:val="-5"/>
            <w:u w:val="single"/>
          </w:rPr>
          <w:t xml:space="preserve"> </w:t>
        </w:r>
        <w:r w:rsidRPr="000E0A0A">
          <w:rPr>
            <w:u w:val="single"/>
          </w:rPr>
          <w:t>Participants</w:t>
        </w:r>
      </w:hyperlink>
      <w:r>
        <w:t xml:space="preserve"> available on the International Energy Agency (IEA)’s website for further information regarding the IEA’s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 your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26601D">
        <w:rPr>
          <w:b/>
        </w:rPr>
        <w:t xml:space="preserve">ENERGY INNOVATION FORUM </w:t>
      </w:r>
      <w:r w:rsidR="007853D1" w:rsidRPr="007853D1">
        <w:rPr>
          <w:bCs/>
        </w:rPr>
        <w:t>taking place at the OECD headquarters</w:t>
      </w:r>
      <w:r w:rsidR="00A120E0">
        <w:rPr>
          <w:bCs/>
        </w:rPr>
        <w:t xml:space="preserve"> on</w:t>
      </w:r>
      <w:r w:rsidR="0026601D">
        <w:rPr>
          <w:bCs/>
        </w:rPr>
        <w:t xml:space="preserve"> </w:t>
      </w:r>
      <w:r w:rsidR="007853D1" w:rsidRPr="007853D1">
        <w:rPr>
          <w:bCs/>
        </w:rPr>
        <w:t>13 February 2024</w:t>
      </w:r>
      <w:r w:rsidR="007853D1">
        <w:rPr>
          <w:b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“</w:t>
      </w:r>
      <w:r>
        <w:rPr>
          <w:b/>
        </w:rPr>
        <w:t>event</w:t>
      </w:r>
      <w:r>
        <w:t>”)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your rights in relation to your data. </w:t>
      </w:r>
      <w:r>
        <w:rPr>
          <w:i/>
        </w:rPr>
        <w:t>If</w:t>
      </w:r>
      <w:r>
        <w:rPr>
          <w:i/>
          <w:spacing w:val="40"/>
        </w:rPr>
        <w:t xml:space="preserve"> </w:t>
      </w:r>
      <w:r>
        <w:rPr>
          <w:i/>
        </w:rPr>
        <w:t>you</w:t>
      </w:r>
      <w:r>
        <w:rPr>
          <w:i/>
          <w:spacing w:val="40"/>
        </w:rPr>
        <w:t xml:space="preserve"> </w:t>
      </w:r>
      <w:r>
        <w:rPr>
          <w:i/>
        </w:rPr>
        <w:t>have</w:t>
      </w:r>
      <w:r>
        <w:rPr>
          <w:i/>
          <w:spacing w:val="40"/>
        </w:rPr>
        <w:t xml:space="preserve"> </w:t>
      </w:r>
      <w:r>
        <w:rPr>
          <w:i/>
        </w:rPr>
        <w:t>further</w:t>
      </w:r>
      <w:r>
        <w:rPr>
          <w:i/>
          <w:spacing w:val="40"/>
        </w:rPr>
        <w:t xml:space="preserve"> </w:t>
      </w:r>
      <w:r>
        <w:rPr>
          <w:i/>
        </w:rPr>
        <w:t>queries</w:t>
      </w:r>
      <w:r>
        <w:rPr>
          <w:i/>
          <w:spacing w:val="40"/>
        </w:rPr>
        <w:t xml:space="preserve"> </w:t>
      </w:r>
      <w:r>
        <w:rPr>
          <w:i/>
        </w:rPr>
        <w:t>or</w:t>
      </w:r>
      <w:r>
        <w:rPr>
          <w:i/>
          <w:spacing w:val="9"/>
        </w:rPr>
        <w:t xml:space="preserve"> complaints </w:t>
      </w:r>
      <w:r>
        <w:rPr>
          <w:i/>
        </w:rPr>
        <w:t>related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 xml:space="preserve">the </w:t>
      </w:r>
      <w:r>
        <w:rPr>
          <w:i/>
          <w:spacing w:val="9"/>
        </w:rPr>
        <w:t xml:space="preserve">processing </w:t>
      </w:r>
      <w:r>
        <w:rPr>
          <w:i/>
        </w:rPr>
        <w:t xml:space="preserve">of your </w:t>
      </w:r>
      <w:r>
        <w:rPr>
          <w:i/>
          <w:spacing w:val="9"/>
        </w:rPr>
        <w:t xml:space="preserve">personal </w:t>
      </w:r>
      <w:r>
        <w:rPr>
          <w:i/>
        </w:rPr>
        <w:t xml:space="preserve">data, please contact the </w:t>
      </w:r>
      <w:r>
        <w:rPr>
          <w:i/>
          <w:spacing w:val="9"/>
        </w:rPr>
        <w:t xml:space="preserve">Organisation </w:t>
      </w:r>
      <w:r>
        <w:rPr>
          <w:i/>
        </w:rPr>
        <w:t xml:space="preserve">for Economic Co- </w:t>
      </w:r>
      <w:r>
        <w:rPr>
          <w:i/>
          <w:spacing w:val="9"/>
        </w:rPr>
        <w:t>operation</w:t>
      </w:r>
      <w:r>
        <w:rPr>
          <w:i/>
          <w:spacing w:val="80"/>
        </w:rPr>
        <w:t xml:space="preserve"> </w:t>
      </w:r>
      <w:r>
        <w:rPr>
          <w:i/>
        </w:rPr>
        <w:t>and</w:t>
      </w:r>
      <w:r>
        <w:rPr>
          <w:i/>
          <w:spacing w:val="80"/>
        </w:rPr>
        <w:t xml:space="preserve"> </w:t>
      </w:r>
      <w:r>
        <w:rPr>
          <w:i/>
        </w:rPr>
        <w:t>Development</w:t>
      </w:r>
      <w:r>
        <w:rPr>
          <w:i/>
          <w:spacing w:val="80"/>
        </w:rPr>
        <w:t xml:space="preserve"> </w:t>
      </w:r>
      <w:r>
        <w:rPr>
          <w:i/>
        </w:rPr>
        <w:t xml:space="preserve">(OECD) </w:t>
      </w:r>
      <w:hyperlink r:id="rId12">
        <w:r>
          <w:rPr>
            <w:u w:val="single"/>
          </w:rPr>
          <w:t>Data</w:t>
        </w:r>
        <w:r>
          <w:rPr>
            <w:spacing w:val="80"/>
            <w:u w:val="single"/>
          </w:rPr>
          <w:t xml:space="preserve"> </w:t>
        </w:r>
        <w:r>
          <w:rPr>
            <w:u w:val="single"/>
          </w:rPr>
          <w:t>Protection</w:t>
        </w:r>
        <w:r>
          <w:rPr>
            <w:spacing w:val="80"/>
            <w:u w:val="single"/>
          </w:rPr>
          <w:t xml:space="preserve"> </w:t>
        </w:r>
        <w:r>
          <w:rPr>
            <w:u w:val="single"/>
          </w:rPr>
          <w:t>Officer</w:t>
        </w:r>
      </w:hyperlink>
      <w:r>
        <w:rPr>
          <w:i/>
        </w:rPr>
        <w:t>.</w:t>
      </w:r>
      <w:r>
        <w:rPr>
          <w:i/>
          <w:spacing w:val="80"/>
        </w:rPr>
        <w:t xml:space="preserve"> </w:t>
      </w:r>
      <w:r>
        <w:rPr>
          <w:i/>
        </w:rPr>
        <w:t>If</w:t>
      </w:r>
      <w:r>
        <w:rPr>
          <w:i/>
          <w:spacing w:val="80"/>
        </w:rPr>
        <w:t xml:space="preserve"> </w:t>
      </w:r>
      <w:r>
        <w:rPr>
          <w:i/>
        </w:rPr>
        <w:t>you</w:t>
      </w:r>
      <w:r>
        <w:rPr>
          <w:i/>
          <w:spacing w:val="80"/>
        </w:rPr>
        <w:t xml:space="preserve"> </w:t>
      </w:r>
      <w:r>
        <w:rPr>
          <w:i/>
        </w:rPr>
        <w:t>need</w:t>
      </w:r>
      <w:r>
        <w:rPr>
          <w:i/>
          <w:spacing w:val="80"/>
        </w:rPr>
        <w:t xml:space="preserve"> </w:t>
      </w:r>
      <w:r>
        <w:rPr>
          <w:i/>
        </w:rPr>
        <w:t xml:space="preserve">further </w:t>
      </w:r>
      <w:r>
        <w:rPr>
          <w:i/>
          <w:spacing w:val="9"/>
        </w:rPr>
        <w:t>assistance</w:t>
      </w:r>
      <w:r>
        <w:rPr>
          <w:i/>
          <w:spacing w:val="40"/>
        </w:rPr>
        <w:t xml:space="preserve"> </w:t>
      </w:r>
      <w:r>
        <w:rPr>
          <w:i/>
        </w:rPr>
        <w:t>in</w:t>
      </w:r>
      <w:r>
        <w:rPr>
          <w:i/>
          <w:spacing w:val="40"/>
        </w:rPr>
        <w:t xml:space="preserve"> </w:t>
      </w:r>
      <w:r>
        <w:rPr>
          <w:i/>
          <w:spacing w:val="9"/>
        </w:rPr>
        <w:t>resolving</w:t>
      </w:r>
      <w:r>
        <w:rPr>
          <w:i/>
          <w:spacing w:val="40"/>
        </w:rPr>
        <w:t xml:space="preserve"> </w:t>
      </w:r>
      <w:r>
        <w:rPr>
          <w:i/>
        </w:rPr>
        <w:t>claims</w:t>
      </w:r>
      <w:r>
        <w:rPr>
          <w:i/>
          <w:spacing w:val="40"/>
        </w:rPr>
        <w:t xml:space="preserve"> </w:t>
      </w:r>
      <w:r>
        <w:rPr>
          <w:i/>
        </w:rPr>
        <w:t>related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  <w:spacing w:val="9"/>
        </w:rPr>
        <w:t>personal</w:t>
      </w:r>
      <w:r>
        <w:rPr>
          <w:i/>
          <w:spacing w:val="40"/>
        </w:rPr>
        <w:t xml:space="preserve"> </w:t>
      </w:r>
      <w:r>
        <w:rPr>
          <w:i/>
        </w:rPr>
        <w:t>data</w:t>
      </w:r>
      <w:r>
        <w:rPr>
          <w:i/>
          <w:spacing w:val="40"/>
        </w:rPr>
        <w:t xml:space="preserve"> </w:t>
      </w:r>
      <w:r>
        <w:rPr>
          <w:i/>
          <w:spacing w:val="9"/>
        </w:rPr>
        <w:t>protection</w:t>
      </w:r>
      <w:r>
        <w:rPr>
          <w:i/>
          <w:spacing w:val="40"/>
        </w:rPr>
        <w:t xml:space="preserve"> </w:t>
      </w:r>
      <w:r>
        <w:rPr>
          <w:i/>
        </w:rPr>
        <w:t>you</w:t>
      </w:r>
      <w:r>
        <w:rPr>
          <w:i/>
          <w:spacing w:val="40"/>
        </w:rPr>
        <w:t xml:space="preserve"> </w:t>
      </w:r>
      <w:r>
        <w:rPr>
          <w:i/>
        </w:rPr>
        <w:t>can</w:t>
      </w:r>
      <w:r>
        <w:rPr>
          <w:i/>
          <w:spacing w:val="40"/>
        </w:rPr>
        <w:t xml:space="preserve"> </w:t>
      </w:r>
      <w:r>
        <w:rPr>
          <w:i/>
        </w:rPr>
        <w:t>contact</w:t>
      </w:r>
      <w:r>
        <w:rPr>
          <w:i/>
          <w:spacing w:val="40"/>
        </w:rPr>
        <w:t xml:space="preserve"> </w:t>
      </w:r>
      <w:r>
        <w:rPr>
          <w:i/>
        </w:rPr>
        <w:t xml:space="preserve">the OECD </w:t>
      </w:r>
      <w:hyperlink r:id="rId13">
        <w:r>
          <w:rPr>
            <w:u w:val="single"/>
          </w:rPr>
          <w:t xml:space="preserve">Data </w:t>
        </w:r>
        <w:r>
          <w:rPr>
            <w:spacing w:val="9"/>
            <w:u w:val="single"/>
          </w:rPr>
          <w:t>Protection Commissioner</w:t>
        </w:r>
      </w:hyperlink>
      <w:r>
        <w:rPr>
          <w:i/>
          <w:spacing w:val="9"/>
        </w:rPr>
        <w:t>.</w:t>
      </w:r>
    </w:p>
    <w:p w14:paraId="2B568C97" w14:textId="77777777" w:rsidR="00586628" w:rsidRDefault="00586628" w:rsidP="006F670F">
      <w:pPr>
        <w:pStyle w:val="BodyText"/>
        <w:spacing w:line="220" w:lineRule="atLeast"/>
        <w:rPr>
          <w:i/>
          <w:sz w:val="16"/>
        </w:rPr>
      </w:pPr>
    </w:p>
    <w:p w14:paraId="325C405E" w14:textId="77777777" w:rsidR="00586628" w:rsidRDefault="00240624" w:rsidP="006F670F">
      <w:pPr>
        <w:pStyle w:val="BodyText"/>
        <w:spacing w:line="220" w:lineRule="atLeast"/>
        <w:jc w:val="both"/>
      </w:pPr>
      <w:r>
        <w:t>The</w:t>
      </w:r>
      <w:r>
        <w:rPr>
          <w:spacing w:val="-3"/>
        </w:rPr>
        <w:t xml:space="preserve"> </w:t>
      </w:r>
      <w:r>
        <w:t>IEA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wishes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that:</w:t>
      </w:r>
    </w:p>
    <w:p w14:paraId="181E22E1" w14:textId="77777777" w:rsidR="00586628" w:rsidRDefault="00586628" w:rsidP="00557C49">
      <w:pPr>
        <w:pStyle w:val="BodyText"/>
        <w:spacing w:line="220" w:lineRule="atLeast"/>
        <w:rPr>
          <w:sz w:val="24"/>
        </w:rPr>
      </w:pPr>
    </w:p>
    <w:p w14:paraId="29A6D088" w14:textId="21267B74" w:rsidR="003E3C69" w:rsidRDefault="00A201DF" w:rsidP="00557C49">
      <w:pPr>
        <w:pStyle w:val="ListParagraph"/>
        <w:numPr>
          <w:ilvl w:val="0"/>
          <w:numId w:val="5"/>
        </w:numPr>
        <w:tabs>
          <w:tab w:val="left" w:pos="823"/>
        </w:tabs>
        <w:spacing w:line="220" w:lineRule="atLeast"/>
        <w:ind w:right="103"/>
      </w:pPr>
      <w:r>
        <w:t xml:space="preserve">The IEA is using </w:t>
      </w:r>
      <w:r w:rsidR="00337E0F">
        <w:t>Infinite Square’s</w:t>
      </w:r>
      <w:r>
        <w:t xml:space="preserve"> inwink event management platform </w:t>
      </w:r>
      <w:r w:rsidR="006F496C">
        <w:t xml:space="preserve">to streamline the organisation and management of the event.  As set </w:t>
      </w:r>
      <w:r w:rsidR="006F496C" w:rsidRPr="00A6014C">
        <w:t xml:space="preserve">out in </w:t>
      </w:r>
      <w:proofErr w:type="spellStart"/>
      <w:r w:rsidR="00BD7CBD" w:rsidRPr="00A6014C">
        <w:t>inwink’s</w:t>
      </w:r>
      <w:proofErr w:type="spellEnd"/>
      <w:r w:rsidR="006F496C" w:rsidRPr="00A6014C">
        <w:t xml:space="preserve"> </w:t>
      </w:r>
      <w:hyperlink r:id="rId14" w:history="1">
        <w:r w:rsidR="006F496C" w:rsidRPr="000E0A0A">
          <w:rPr>
            <w:rStyle w:val="Hyperlink"/>
          </w:rPr>
          <w:t>Privacy Policy</w:t>
        </w:r>
      </w:hyperlink>
      <w:r w:rsidR="006F496C" w:rsidRPr="000E0A0A">
        <w:t>,</w:t>
      </w:r>
      <w:r w:rsidR="006F496C" w:rsidRPr="00A6014C">
        <w:t xml:space="preserve"> </w:t>
      </w:r>
      <w:r w:rsidR="00337E0F" w:rsidRPr="00A6014C">
        <w:t>Infinite</w:t>
      </w:r>
      <w:r w:rsidR="00337E0F">
        <w:t xml:space="preserve"> Square</w:t>
      </w:r>
      <w:r w:rsidR="006F496C">
        <w:t xml:space="preserve"> will store and use </w:t>
      </w:r>
      <w:r w:rsidR="003E3C69">
        <w:t>the</w:t>
      </w:r>
      <w:r w:rsidR="006F496C">
        <w:t xml:space="preserve"> personal </w:t>
      </w:r>
      <w:r w:rsidR="009F06B3">
        <w:t>data</w:t>
      </w:r>
      <w:r w:rsidR="005818EE">
        <w:t xml:space="preserve"> that is uploaded directly to inwink by event attendees or by the IEA on their behalf</w:t>
      </w:r>
      <w:r w:rsidR="006F496C">
        <w:t xml:space="preserve"> </w:t>
      </w:r>
      <w:r w:rsidR="003E3C69">
        <w:t xml:space="preserve">(including name, </w:t>
      </w:r>
      <w:r w:rsidR="0026601D">
        <w:t xml:space="preserve">gender, </w:t>
      </w:r>
      <w:r w:rsidR="003E3C69">
        <w:t xml:space="preserve">email, </w:t>
      </w:r>
      <w:r w:rsidR="0026601D">
        <w:t xml:space="preserve">organization/company, country of residence, job </w:t>
      </w:r>
      <w:r w:rsidR="003E3C69">
        <w:t xml:space="preserve">title, </w:t>
      </w:r>
      <w:r w:rsidR="0026601D">
        <w:t xml:space="preserve">sector, </w:t>
      </w:r>
      <w:r w:rsidR="003E3C69" w:rsidRPr="00A47E79">
        <w:t>meal preferences</w:t>
      </w:r>
      <w:r w:rsidR="00461388" w:rsidRPr="00A47E79">
        <w:t xml:space="preserve"> </w:t>
      </w:r>
      <w:r w:rsidR="004E4374" w:rsidRPr="00A120E0">
        <w:t xml:space="preserve">and additionally, for certain </w:t>
      </w:r>
      <w:r w:rsidR="00EC574E">
        <w:t>speakers</w:t>
      </w:r>
      <w:r w:rsidR="004E4374" w:rsidRPr="00A120E0">
        <w:t>, their photo and bio</w:t>
      </w:r>
      <w:r w:rsidR="004E4374">
        <w:t xml:space="preserve">) </w:t>
      </w:r>
      <w:r w:rsidR="006F496C">
        <w:t>solely for the purposes of carrying out services for the OECD/IEA in respect of the event</w:t>
      </w:r>
      <w:r w:rsidR="003E3C69">
        <w:t>, including to enable registration and access information about the event;</w:t>
      </w:r>
    </w:p>
    <w:p w14:paraId="54A6672B" w14:textId="267A820D" w:rsidR="003E3C69" w:rsidRDefault="00B05169" w:rsidP="00557C49">
      <w:pPr>
        <w:pStyle w:val="ListParagraph"/>
        <w:numPr>
          <w:ilvl w:val="0"/>
          <w:numId w:val="5"/>
        </w:numPr>
        <w:tabs>
          <w:tab w:val="left" w:pos="823"/>
        </w:tabs>
        <w:spacing w:line="220" w:lineRule="atLeast"/>
        <w:ind w:right="103"/>
      </w:pPr>
      <w:r w:rsidRPr="00A120E0">
        <w:t>The names, title, country/affiliation</w:t>
      </w:r>
      <w:r w:rsidR="0062190E" w:rsidRPr="00A120E0">
        <w:t>, bios</w:t>
      </w:r>
      <w:r w:rsidRPr="00A120E0">
        <w:t xml:space="preserve"> and photos of </w:t>
      </w:r>
      <w:r w:rsidR="0062190E" w:rsidRPr="00A120E0">
        <w:t>speakers</w:t>
      </w:r>
      <w:r w:rsidR="00D94507">
        <w:t xml:space="preserve">, including the event’s moderator, and </w:t>
      </w:r>
      <w:r w:rsidR="002A41EB">
        <w:t xml:space="preserve">the </w:t>
      </w:r>
      <w:r w:rsidR="002A41EB" w:rsidRPr="00A120E0">
        <w:t>names, title, country/affiliation</w:t>
      </w:r>
      <w:r w:rsidR="002A41EB">
        <w:t xml:space="preserve"> </w:t>
      </w:r>
      <w:r w:rsidR="00D94507">
        <w:t xml:space="preserve">of participants </w:t>
      </w:r>
      <w:r w:rsidR="0062190E" w:rsidRPr="00A120E0">
        <w:t xml:space="preserve">may </w:t>
      </w:r>
      <w:r w:rsidRPr="00A120E0">
        <w:t xml:space="preserve">also feature </w:t>
      </w:r>
      <w:r w:rsidR="0062190E" w:rsidRPr="00A120E0">
        <w:t xml:space="preserve">on the inwink event </w:t>
      </w:r>
      <w:proofErr w:type="gramStart"/>
      <w:r w:rsidR="0062190E" w:rsidRPr="00A120E0">
        <w:t>page</w:t>
      </w:r>
      <w:r w:rsidR="003E3C69" w:rsidRPr="00A120E0">
        <w:t>;</w:t>
      </w:r>
      <w:proofErr w:type="gramEnd"/>
    </w:p>
    <w:p w14:paraId="04C3A095" w14:textId="1EAD5374" w:rsidR="00D94507" w:rsidRPr="006669D9" w:rsidRDefault="00D94507" w:rsidP="00D94507">
      <w:pPr>
        <w:pStyle w:val="Default"/>
        <w:numPr>
          <w:ilvl w:val="0"/>
          <w:numId w:val="5"/>
        </w:numPr>
        <w:jc w:val="both"/>
        <w:rPr>
          <w:rFonts w:ascii="Arial" w:eastAsia="Arial" w:hAnsi="Arial" w:cs="Arial"/>
          <w:color w:val="auto"/>
          <w:sz w:val="22"/>
          <w:szCs w:val="22"/>
          <w:lang w:val="en-US" w:eastAsia="en-US"/>
        </w:rPr>
      </w:pPr>
      <w:r w:rsidRPr="006669D9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The attendance list</w:t>
      </w:r>
      <w:r w:rsidR="002A41EB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,</w:t>
      </w:r>
      <w:r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 including </w:t>
      </w:r>
      <w:r w:rsidR="002A41EB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participants’ </w:t>
      </w:r>
      <w:r w:rsidR="002A41EB" w:rsidRPr="006669D9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and speakers’</w:t>
      </w:r>
      <w:r w:rsidR="002A41EB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 </w:t>
      </w:r>
      <w:r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names, job titles and </w:t>
      </w:r>
      <w:r w:rsidR="002A41EB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affiliation</w:t>
      </w:r>
      <w:r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/count</w:t>
      </w:r>
      <w:r w:rsidR="002A41EB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ry</w:t>
      </w:r>
      <w:r w:rsidRPr="006669D9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 might be shared with other </w:t>
      </w:r>
      <w:r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event </w:t>
      </w:r>
      <w:r w:rsidRPr="006669D9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participants</w:t>
      </w:r>
      <w:r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 by email</w:t>
      </w:r>
      <w:r w:rsidRPr="006669D9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. The IEA will not include contact details, such as emails</w:t>
      </w:r>
      <w:r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 xml:space="preserve">, </w:t>
      </w:r>
      <w:r w:rsidRPr="006669D9"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in any such shared list</w:t>
      </w:r>
      <w:r>
        <w:rPr>
          <w:rFonts w:ascii="Arial" w:eastAsia="Arial" w:hAnsi="Arial" w:cs="Arial"/>
          <w:color w:val="auto"/>
          <w:sz w:val="22"/>
          <w:szCs w:val="22"/>
          <w:lang w:val="en-US" w:eastAsia="en-US"/>
        </w:rPr>
        <w:t>.</w:t>
      </w:r>
    </w:p>
    <w:p w14:paraId="399D5179" w14:textId="002485A4" w:rsidR="00586628" w:rsidRDefault="007853D1" w:rsidP="00557C49">
      <w:pPr>
        <w:pStyle w:val="ListParagraph"/>
        <w:numPr>
          <w:ilvl w:val="0"/>
          <w:numId w:val="5"/>
        </w:numPr>
        <w:tabs>
          <w:tab w:val="left" w:pos="822"/>
        </w:tabs>
        <w:spacing w:line="220" w:lineRule="atLeast"/>
      </w:pPr>
      <w:r>
        <w:t>Certain parts of t</w:t>
      </w:r>
      <w:r w:rsidR="00240624">
        <w:t xml:space="preserve">he event will be </w:t>
      </w:r>
      <w:r w:rsidR="00253913">
        <w:t>recorded,</w:t>
      </w:r>
      <w:r w:rsidR="00240624">
        <w:t xml:space="preserve"> </w:t>
      </w:r>
      <w:r w:rsidR="00240624" w:rsidRPr="00DC5755">
        <w:t xml:space="preserve">and webcast live at </w:t>
      </w:r>
      <w:hyperlink r:id="rId15" w:history="1">
        <w:r w:rsidR="00DC5755" w:rsidRPr="007A5A51">
          <w:rPr>
            <w:rStyle w:val="Hyperlink"/>
          </w:rPr>
          <w:t>www.iea.org</w:t>
        </w:r>
      </w:hyperlink>
      <w:r w:rsidR="00DC5755">
        <w:t xml:space="preserve">.  </w:t>
      </w:r>
      <w:r w:rsidR="00240624" w:rsidRPr="00DC5755">
        <w:t>Additionally, the</w:t>
      </w:r>
      <w:r w:rsidR="00240624" w:rsidRPr="00557C49">
        <w:rPr>
          <w:spacing w:val="-1"/>
        </w:rPr>
        <w:t xml:space="preserve"> </w:t>
      </w:r>
      <w:r w:rsidR="00240624" w:rsidRPr="00DC5755">
        <w:t>recording will be</w:t>
      </w:r>
      <w:r w:rsidR="00240624" w:rsidRPr="00557C49">
        <w:rPr>
          <w:spacing w:val="-1"/>
        </w:rPr>
        <w:t xml:space="preserve"> </w:t>
      </w:r>
      <w:r w:rsidR="00240624" w:rsidRPr="00DC5755">
        <w:t>posted</w:t>
      </w:r>
      <w:r w:rsidR="00240624" w:rsidRPr="00557C49">
        <w:rPr>
          <w:spacing w:val="-1"/>
        </w:rPr>
        <w:t xml:space="preserve"> </w:t>
      </w:r>
      <w:r w:rsidR="00240624" w:rsidRPr="00DC5755">
        <w:t>after the event on the IEA’s website</w:t>
      </w:r>
      <w:r w:rsidR="00DC5755">
        <w:t>.</w:t>
      </w:r>
      <w:r w:rsidR="00C03F1D" w:rsidRPr="00DC5755">
        <w:t xml:space="preserve"> </w:t>
      </w:r>
      <w:r w:rsidR="00240624" w:rsidRPr="00DC5755">
        <w:t xml:space="preserve">This </w:t>
      </w:r>
      <w:r w:rsidR="00DC5755">
        <w:t xml:space="preserve">is </w:t>
      </w:r>
      <w:r w:rsidR="00A6014C" w:rsidRPr="00DC5755">
        <w:t>to</w:t>
      </w:r>
      <w:r w:rsidR="00240624">
        <w:t xml:space="preserve"> expand access to a wider audience, including people who weren’t able to attend the event. Photographs may also be taken to facilitate communications</w:t>
      </w:r>
      <w:r w:rsidR="00E816EF">
        <w:t>, media coverage</w:t>
      </w:r>
      <w:r w:rsidR="00240624">
        <w:t xml:space="preserve"> and publicity. The recordings and photographs may be disseminated </w:t>
      </w:r>
      <w:r w:rsidR="00E816EF">
        <w:t xml:space="preserve">via </w:t>
      </w:r>
      <w:r w:rsidR="00A34245">
        <w:t>traditional</w:t>
      </w:r>
      <w:r w:rsidR="00E816EF">
        <w:t xml:space="preserve"> media and </w:t>
      </w:r>
      <w:r w:rsidR="00240624">
        <w:t>on social</w:t>
      </w:r>
      <w:r w:rsidR="00240624" w:rsidRPr="00557C49">
        <w:rPr>
          <w:spacing w:val="-2"/>
        </w:rPr>
        <w:t xml:space="preserve"> </w:t>
      </w:r>
      <w:r w:rsidR="00240624">
        <w:t>media</w:t>
      </w:r>
      <w:r w:rsidR="00240624" w:rsidRPr="00557C49">
        <w:rPr>
          <w:spacing w:val="-4"/>
        </w:rPr>
        <w:t xml:space="preserve"> </w:t>
      </w:r>
      <w:r w:rsidR="00240624">
        <w:t>channels</w:t>
      </w:r>
      <w:r w:rsidR="00240624" w:rsidRPr="00557C49">
        <w:rPr>
          <w:spacing w:val="-4"/>
        </w:rPr>
        <w:t xml:space="preserve"> </w:t>
      </w:r>
      <w:r w:rsidR="00240624">
        <w:t>and</w:t>
      </w:r>
      <w:r w:rsidR="00240624" w:rsidRPr="00557C49">
        <w:rPr>
          <w:spacing w:val="-2"/>
        </w:rPr>
        <w:t xml:space="preserve"> </w:t>
      </w:r>
      <w:r w:rsidR="00240624">
        <w:t>potentially</w:t>
      </w:r>
      <w:r w:rsidR="00240624" w:rsidRPr="00557C49">
        <w:rPr>
          <w:spacing w:val="-4"/>
        </w:rPr>
        <w:t xml:space="preserve"> </w:t>
      </w:r>
      <w:r w:rsidR="00240624">
        <w:t>re-used</w:t>
      </w:r>
      <w:r w:rsidR="00240624" w:rsidRPr="00557C49">
        <w:rPr>
          <w:spacing w:val="-6"/>
        </w:rPr>
        <w:t xml:space="preserve"> </w:t>
      </w:r>
      <w:r w:rsidR="00240624">
        <w:t>for</w:t>
      </w:r>
      <w:r w:rsidR="00240624" w:rsidRPr="00557C49">
        <w:rPr>
          <w:spacing w:val="-3"/>
        </w:rPr>
        <w:t xml:space="preserve"> </w:t>
      </w:r>
      <w:r w:rsidR="00240624">
        <w:t>informational</w:t>
      </w:r>
      <w:r w:rsidR="00240624" w:rsidRPr="00557C49">
        <w:rPr>
          <w:spacing w:val="-2"/>
        </w:rPr>
        <w:t xml:space="preserve"> </w:t>
      </w:r>
      <w:r w:rsidR="00240624">
        <w:t>purposes</w:t>
      </w:r>
      <w:r w:rsidR="00240624" w:rsidRPr="00557C49">
        <w:rPr>
          <w:spacing w:val="-3"/>
        </w:rPr>
        <w:t xml:space="preserve"> </w:t>
      </w:r>
      <w:r w:rsidR="00240624">
        <w:t>for up</w:t>
      </w:r>
      <w:r w:rsidR="00240624" w:rsidRPr="00557C49">
        <w:rPr>
          <w:spacing w:val="-7"/>
        </w:rPr>
        <w:t xml:space="preserve"> </w:t>
      </w:r>
      <w:r w:rsidR="00240624">
        <w:t>to</w:t>
      </w:r>
      <w:r w:rsidR="00240624" w:rsidRPr="00557C49">
        <w:rPr>
          <w:spacing w:val="-4"/>
        </w:rPr>
        <w:t xml:space="preserve"> </w:t>
      </w:r>
      <w:r w:rsidR="00240624">
        <w:t>5</w:t>
      </w:r>
      <w:r w:rsidR="00240624" w:rsidRPr="00557C49">
        <w:rPr>
          <w:spacing w:val="-4"/>
        </w:rPr>
        <w:t xml:space="preserve"> </w:t>
      </w:r>
      <w:r w:rsidR="00240624">
        <w:t>years. Additionally, the livestream recording will be available for public review for up to 10 years. All</w:t>
      </w:r>
      <w:r w:rsidR="00240624" w:rsidRPr="00557C49">
        <w:rPr>
          <w:spacing w:val="-11"/>
        </w:rPr>
        <w:t xml:space="preserve"> </w:t>
      </w:r>
      <w:r w:rsidR="00240624">
        <w:t>such</w:t>
      </w:r>
      <w:r w:rsidR="00240624" w:rsidRPr="00557C49">
        <w:rPr>
          <w:spacing w:val="-13"/>
        </w:rPr>
        <w:t xml:space="preserve"> </w:t>
      </w:r>
      <w:r w:rsidR="00240624">
        <w:t>material</w:t>
      </w:r>
      <w:r w:rsidR="00240624" w:rsidRPr="00557C49">
        <w:rPr>
          <w:spacing w:val="-11"/>
        </w:rPr>
        <w:t xml:space="preserve"> </w:t>
      </w:r>
      <w:r w:rsidR="00240624">
        <w:t>will</w:t>
      </w:r>
      <w:r w:rsidR="00240624" w:rsidRPr="00557C49">
        <w:rPr>
          <w:spacing w:val="-11"/>
        </w:rPr>
        <w:t xml:space="preserve"> </w:t>
      </w:r>
      <w:r w:rsidR="00240624">
        <w:t>then</w:t>
      </w:r>
      <w:r w:rsidR="00240624" w:rsidRPr="00557C49">
        <w:rPr>
          <w:spacing w:val="-13"/>
        </w:rPr>
        <w:t xml:space="preserve"> </w:t>
      </w:r>
      <w:r w:rsidR="00240624">
        <w:t>be</w:t>
      </w:r>
      <w:r w:rsidR="00240624" w:rsidRPr="00557C49">
        <w:rPr>
          <w:spacing w:val="-13"/>
        </w:rPr>
        <w:t xml:space="preserve"> </w:t>
      </w:r>
      <w:r w:rsidR="00240624">
        <w:t>archived</w:t>
      </w:r>
      <w:r w:rsidR="00240624" w:rsidRPr="00557C49">
        <w:rPr>
          <w:spacing w:val="-13"/>
        </w:rPr>
        <w:t xml:space="preserve"> </w:t>
      </w:r>
      <w:r w:rsidR="00240624">
        <w:t>at</w:t>
      </w:r>
      <w:r w:rsidR="00240624" w:rsidRPr="00557C49">
        <w:rPr>
          <w:spacing w:val="-14"/>
        </w:rPr>
        <w:t xml:space="preserve"> </w:t>
      </w:r>
      <w:r w:rsidR="00240624">
        <w:t>the</w:t>
      </w:r>
      <w:r w:rsidR="00240624" w:rsidRPr="00557C49">
        <w:rPr>
          <w:spacing w:val="-13"/>
        </w:rPr>
        <w:t xml:space="preserve"> </w:t>
      </w:r>
      <w:r w:rsidR="00240624">
        <w:t>IEA</w:t>
      </w:r>
      <w:r w:rsidR="00240624" w:rsidRPr="00557C49">
        <w:rPr>
          <w:spacing w:val="-13"/>
        </w:rPr>
        <w:t xml:space="preserve"> </w:t>
      </w:r>
      <w:r w:rsidR="00240624">
        <w:t>for</w:t>
      </w:r>
      <w:r w:rsidR="00240624" w:rsidRPr="00557C49">
        <w:rPr>
          <w:spacing w:val="-9"/>
        </w:rPr>
        <w:t xml:space="preserve"> </w:t>
      </w:r>
      <w:r w:rsidR="00240624">
        <w:t>an</w:t>
      </w:r>
      <w:r w:rsidR="00240624" w:rsidRPr="00557C49">
        <w:rPr>
          <w:spacing w:val="-13"/>
        </w:rPr>
        <w:t xml:space="preserve"> </w:t>
      </w:r>
      <w:r w:rsidR="00240624">
        <w:t>indefinite</w:t>
      </w:r>
      <w:r w:rsidR="00240624" w:rsidRPr="00557C49">
        <w:rPr>
          <w:spacing w:val="-13"/>
        </w:rPr>
        <w:t xml:space="preserve"> </w:t>
      </w:r>
      <w:proofErr w:type="gramStart"/>
      <w:r w:rsidR="00240624">
        <w:t>period</w:t>
      </w:r>
      <w:r w:rsidR="00240624" w:rsidRPr="00557C49">
        <w:rPr>
          <w:spacing w:val="-13"/>
        </w:rPr>
        <w:t xml:space="preserve"> </w:t>
      </w:r>
      <w:r w:rsidR="00240624">
        <w:t>of</w:t>
      </w:r>
      <w:r w:rsidR="00240624" w:rsidRPr="00557C49">
        <w:rPr>
          <w:spacing w:val="-11"/>
        </w:rPr>
        <w:t xml:space="preserve"> </w:t>
      </w:r>
      <w:r w:rsidR="00240624">
        <w:t>time</w:t>
      </w:r>
      <w:proofErr w:type="gramEnd"/>
      <w:r w:rsidR="00240624">
        <w:t>.</w:t>
      </w:r>
      <w:r w:rsidR="00240624" w:rsidRPr="00557C49">
        <w:rPr>
          <w:spacing w:val="-14"/>
        </w:rPr>
        <w:t xml:space="preserve"> </w:t>
      </w:r>
      <w:r w:rsidR="00240624">
        <w:t>Only</w:t>
      </w:r>
      <w:r w:rsidR="00240624" w:rsidRPr="00557C49">
        <w:rPr>
          <w:spacing w:val="-10"/>
        </w:rPr>
        <w:t xml:space="preserve"> </w:t>
      </w:r>
      <w:r w:rsidR="00240624">
        <w:t xml:space="preserve">limited IEA staff have access to such archived recordings and photographs. The IEA is unable to edit the recording during the live webcast or after the event </w:t>
      </w:r>
      <w:proofErr w:type="gramStart"/>
      <w:r w:rsidR="00240624">
        <w:t>in order to</w:t>
      </w:r>
      <w:proofErr w:type="gramEnd"/>
      <w:r w:rsidR="00240624">
        <w:t xml:space="preserve"> obscure any participant’s image.</w:t>
      </w:r>
    </w:p>
    <w:p w14:paraId="634B56D0" w14:textId="77777777" w:rsidR="00586628" w:rsidRDefault="00586628" w:rsidP="006F670F">
      <w:pPr>
        <w:pStyle w:val="BodyText"/>
        <w:spacing w:line="220" w:lineRule="atLeast"/>
        <w:rPr>
          <w:sz w:val="24"/>
        </w:rPr>
      </w:pPr>
    </w:p>
    <w:p w14:paraId="42992B49" w14:textId="688B2810" w:rsidR="00586628" w:rsidRDefault="00240624" w:rsidP="0026601D">
      <w:pPr>
        <w:pStyle w:val="BodyText"/>
        <w:spacing w:line="220" w:lineRule="atLeast"/>
        <w:ind w:right="103"/>
        <w:jc w:val="both"/>
      </w:pPr>
      <w:r>
        <w:t>As mentioned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IEA’s notice, the</w:t>
      </w:r>
      <w:r>
        <w:rPr>
          <w:spacing w:val="-1"/>
        </w:rPr>
        <w:t xml:space="preserve"> </w:t>
      </w:r>
      <w:r>
        <w:t>IEA may also contact you about future events</w:t>
      </w:r>
      <w:r>
        <w:rPr>
          <w:spacing w:val="-1"/>
        </w:rPr>
        <w:t xml:space="preserve"> </w:t>
      </w:r>
      <w:r>
        <w:t xml:space="preserve">that might be of interest. If you do not wish to be contacted about future </w:t>
      </w:r>
      <w:r w:rsidR="00253913">
        <w:t>events,</w:t>
      </w:r>
      <w:r>
        <w:t xml:space="preserve"> please send an email to </w:t>
      </w:r>
      <w:hyperlink r:id="rId16" w:history="1">
        <w:r w:rsidR="0026601D" w:rsidRPr="00741B8C">
          <w:rPr>
            <w:rStyle w:val="Hyperlink"/>
          </w:rPr>
          <w:t>energyinnovation@iea.org</w:t>
        </w:r>
      </w:hyperlink>
      <w:r w:rsidR="0026601D">
        <w:t>.</w:t>
      </w:r>
    </w:p>
    <w:p w14:paraId="4D21D1D0" w14:textId="77777777" w:rsidR="0026601D" w:rsidRDefault="0026601D" w:rsidP="0026601D">
      <w:pPr>
        <w:pStyle w:val="BodyText"/>
        <w:spacing w:line="220" w:lineRule="atLeast"/>
        <w:ind w:right="103"/>
        <w:jc w:val="both"/>
        <w:rPr>
          <w:sz w:val="16"/>
        </w:rPr>
      </w:pPr>
    </w:p>
    <w:p w14:paraId="091E76ED" w14:textId="318504D1" w:rsidR="00586628" w:rsidRDefault="00240624" w:rsidP="006F670F">
      <w:pPr>
        <w:pStyle w:val="BodyText"/>
        <w:spacing w:line="220" w:lineRule="atLeast"/>
      </w:pPr>
      <w:r w:rsidRPr="0086670F">
        <w:t>Date:</w:t>
      </w:r>
      <w:r w:rsidRPr="0086670F">
        <w:rPr>
          <w:spacing w:val="-1"/>
        </w:rPr>
        <w:t xml:space="preserve"> </w:t>
      </w:r>
      <w:r w:rsidR="00D81F0D" w:rsidRPr="0086670F">
        <w:rPr>
          <w:spacing w:val="-1"/>
        </w:rPr>
        <w:t xml:space="preserve"> </w:t>
      </w:r>
      <w:r w:rsidR="0086670F" w:rsidRPr="0086670F">
        <w:t>5 December 2023</w:t>
      </w:r>
    </w:p>
    <w:p w14:paraId="70C508AF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51EB1051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41DDDF3F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77CA5C55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29453106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5E768EAA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054C07A6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50CE1065" w14:textId="77777777" w:rsidR="00586628" w:rsidRDefault="00586628" w:rsidP="006F670F">
      <w:pPr>
        <w:pStyle w:val="BodyText"/>
        <w:spacing w:line="220" w:lineRule="atLeast"/>
        <w:rPr>
          <w:sz w:val="20"/>
        </w:rPr>
      </w:pPr>
    </w:p>
    <w:p w14:paraId="0C57C92A" w14:textId="77777777" w:rsidR="00586628" w:rsidRDefault="00586628" w:rsidP="006F670F">
      <w:pPr>
        <w:pStyle w:val="BodyText"/>
        <w:spacing w:line="220" w:lineRule="atLeast"/>
        <w:rPr>
          <w:sz w:val="21"/>
        </w:rPr>
      </w:pPr>
    </w:p>
    <w:p w14:paraId="1ECCF4E6" w14:textId="77777777" w:rsidR="00586628" w:rsidRDefault="00240624" w:rsidP="006F670F">
      <w:pPr>
        <w:pStyle w:val="BodyText"/>
        <w:spacing w:line="220" w:lineRule="atLeast"/>
        <w:jc w:val="center"/>
        <w:rPr>
          <w:rFonts w:ascii="Times New Roman"/>
        </w:rPr>
      </w:pPr>
      <w:r>
        <w:rPr>
          <w:rFonts w:ascii="Times New Roman"/>
        </w:rPr>
        <w:t>1</w:t>
      </w:r>
    </w:p>
    <w:sectPr w:rsidR="00586628">
      <w:type w:val="continuous"/>
      <w:pgSz w:w="11910" w:h="16850"/>
      <w:pgMar w:top="1900" w:right="11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3C50" w14:textId="77777777" w:rsidR="005D1742" w:rsidRDefault="005D1742" w:rsidP="007853D1">
      <w:r>
        <w:separator/>
      </w:r>
    </w:p>
  </w:endnote>
  <w:endnote w:type="continuationSeparator" w:id="0">
    <w:p w14:paraId="4BD9A5F4" w14:textId="77777777" w:rsidR="005D1742" w:rsidRDefault="005D1742" w:rsidP="0078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CD63" w14:textId="77777777" w:rsidR="005D1742" w:rsidRDefault="005D1742" w:rsidP="007853D1">
      <w:r>
        <w:separator/>
      </w:r>
    </w:p>
  </w:footnote>
  <w:footnote w:type="continuationSeparator" w:id="0">
    <w:p w14:paraId="3F0FD314" w14:textId="77777777" w:rsidR="005D1742" w:rsidRDefault="005D1742" w:rsidP="0078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CB8"/>
    <w:multiLevelType w:val="hybridMultilevel"/>
    <w:tmpl w:val="DA82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D73DB"/>
    <w:multiLevelType w:val="hybridMultilevel"/>
    <w:tmpl w:val="EE528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409E6"/>
    <w:multiLevelType w:val="hybridMultilevel"/>
    <w:tmpl w:val="E226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746F1"/>
    <w:multiLevelType w:val="hybridMultilevel"/>
    <w:tmpl w:val="F8740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0A1B0B"/>
    <w:multiLevelType w:val="hybridMultilevel"/>
    <w:tmpl w:val="3578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C5861"/>
    <w:multiLevelType w:val="hybridMultilevel"/>
    <w:tmpl w:val="B1F49080"/>
    <w:lvl w:ilvl="0" w:tplc="ED9AD8E8">
      <w:numFmt w:val="bullet"/>
      <w:lvlText w:val="-"/>
      <w:lvlJc w:val="left"/>
      <w:pPr>
        <w:ind w:left="82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902A1C">
      <w:numFmt w:val="bullet"/>
      <w:lvlText w:val="•"/>
      <w:lvlJc w:val="left"/>
      <w:pPr>
        <w:ind w:left="1706" w:hanging="356"/>
      </w:pPr>
      <w:rPr>
        <w:rFonts w:hint="default"/>
        <w:lang w:val="en-US" w:eastAsia="en-US" w:bidi="ar-SA"/>
      </w:rPr>
    </w:lvl>
    <w:lvl w:ilvl="2" w:tplc="01A693D0">
      <w:numFmt w:val="bullet"/>
      <w:lvlText w:val="•"/>
      <w:lvlJc w:val="left"/>
      <w:pPr>
        <w:ind w:left="2593" w:hanging="356"/>
      </w:pPr>
      <w:rPr>
        <w:rFonts w:hint="default"/>
        <w:lang w:val="en-US" w:eastAsia="en-US" w:bidi="ar-SA"/>
      </w:rPr>
    </w:lvl>
    <w:lvl w:ilvl="3" w:tplc="13A276F6">
      <w:numFmt w:val="bullet"/>
      <w:lvlText w:val="•"/>
      <w:lvlJc w:val="left"/>
      <w:pPr>
        <w:ind w:left="3479" w:hanging="356"/>
      </w:pPr>
      <w:rPr>
        <w:rFonts w:hint="default"/>
        <w:lang w:val="en-US" w:eastAsia="en-US" w:bidi="ar-SA"/>
      </w:rPr>
    </w:lvl>
    <w:lvl w:ilvl="4" w:tplc="3AA674BC">
      <w:numFmt w:val="bullet"/>
      <w:lvlText w:val="•"/>
      <w:lvlJc w:val="left"/>
      <w:pPr>
        <w:ind w:left="4366" w:hanging="356"/>
      </w:pPr>
      <w:rPr>
        <w:rFonts w:hint="default"/>
        <w:lang w:val="en-US" w:eastAsia="en-US" w:bidi="ar-SA"/>
      </w:rPr>
    </w:lvl>
    <w:lvl w:ilvl="5" w:tplc="D2EE7A7E">
      <w:numFmt w:val="bullet"/>
      <w:lvlText w:val="•"/>
      <w:lvlJc w:val="left"/>
      <w:pPr>
        <w:ind w:left="5253" w:hanging="356"/>
      </w:pPr>
      <w:rPr>
        <w:rFonts w:hint="default"/>
        <w:lang w:val="en-US" w:eastAsia="en-US" w:bidi="ar-SA"/>
      </w:rPr>
    </w:lvl>
    <w:lvl w:ilvl="6" w:tplc="C70CD276">
      <w:numFmt w:val="bullet"/>
      <w:lvlText w:val="•"/>
      <w:lvlJc w:val="left"/>
      <w:pPr>
        <w:ind w:left="6139" w:hanging="356"/>
      </w:pPr>
      <w:rPr>
        <w:rFonts w:hint="default"/>
        <w:lang w:val="en-US" w:eastAsia="en-US" w:bidi="ar-SA"/>
      </w:rPr>
    </w:lvl>
    <w:lvl w:ilvl="7" w:tplc="9A6CC896">
      <w:numFmt w:val="bullet"/>
      <w:lvlText w:val="•"/>
      <w:lvlJc w:val="left"/>
      <w:pPr>
        <w:ind w:left="7026" w:hanging="356"/>
      </w:pPr>
      <w:rPr>
        <w:rFonts w:hint="default"/>
        <w:lang w:val="en-US" w:eastAsia="en-US" w:bidi="ar-SA"/>
      </w:rPr>
    </w:lvl>
    <w:lvl w:ilvl="8" w:tplc="C9CAECE6">
      <w:numFmt w:val="bullet"/>
      <w:lvlText w:val="•"/>
      <w:lvlJc w:val="left"/>
      <w:pPr>
        <w:ind w:left="7913" w:hanging="356"/>
      </w:pPr>
      <w:rPr>
        <w:rFonts w:hint="default"/>
        <w:lang w:val="en-US" w:eastAsia="en-US" w:bidi="ar-SA"/>
      </w:rPr>
    </w:lvl>
  </w:abstractNum>
  <w:num w:numId="1" w16cid:durableId="1928610751">
    <w:abstractNumId w:val="5"/>
  </w:num>
  <w:num w:numId="2" w16cid:durableId="1666469355">
    <w:abstractNumId w:val="4"/>
  </w:num>
  <w:num w:numId="3" w16cid:durableId="2014406412">
    <w:abstractNumId w:val="0"/>
  </w:num>
  <w:num w:numId="4" w16cid:durableId="632448615">
    <w:abstractNumId w:val="1"/>
  </w:num>
  <w:num w:numId="5" w16cid:durableId="513154501">
    <w:abstractNumId w:val="2"/>
  </w:num>
  <w:num w:numId="6" w16cid:durableId="64004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28"/>
    <w:rsid w:val="000E0A0A"/>
    <w:rsid w:val="000F1521"/>
    <w:rsid w:val="00103973"/>
    <w:rsid w:val="001145D1"/>
    <w:rsid w:val="00151161"/>
    <w:rsid w:val="00157EFD"/>
    <w:rsid w:val="001A3ECE"/>
    <w:rsid w:val="001B2D4F"/>
    <w:rsid w:val="001B756F"/>
    <w:rsid w:val="001F1414"/>
    <w:rsid w:val="002161CE"/>
    <w:rsid w:val="00240624"/>
    <w:rsid w:val="00253913"/>
    <w:rsid w:val="0026601D"/>
    <w:rsid w:val="0029336B"/>
    <w:rsid w:val="002A41EB"/>
    <w:rsid w:val="00337E0F"/>
    <w:rsid w:val="003C1E24"/>
    <w:rsid w:val="003C568E"/>
    <w:rsid w:val="003E209E"/>
    <w:rsid w:val="003E3C69"/>
    <w:rsid w:val="003F7118"/>
    <w:rsid w:val="004049F6"/>
    <w:rsid w:val="00461388"/>
    <w:rsid w:val="004B66A2"/>
    <w:rsid w:val="004E4374"/>
    <w:rsid w:val="004F20C6"/>
    <w:rsid w:val="005442D4"/>
    <w:rsid w:val="00557C49"/>
    <w:rsid w:val="005706CC"/>
    <w:rsid w:val="005770A5"/>
    <w:rsid w:val="005818EE"/>
    <w:rsid w:val="00586628"/>
    <w:rsid w:val="005916A3"/>
    <w:rsid w:val="005A3286"/>
    <w:rsid w:val="005D1742"/>
    <w:rsid w:val="00620525"/>
    <w:rsid w:val="0062190E"/>
    <w:rsid w:val="006669D9"/>
    <w:rsid w:val="0067400F"/>
    <w:rsid w:val="006F425B"/>
    <w:rsid w:val="006F496C"/>
    <w:rsid w:val="006F670F"/>
    <w:rsid w:val="00731CAA"/>
    <w:rsid w:val="00734940"/>
    <w:rsid w:val="007853D1"/>
    <w:rsid w:val="00790CE4"/>
    <w:rsid w:val="007A2AAB"/>
    <w:rsid w:val="007E7F73"/>
    <w:rsid w:val="00831617"/>
    <w:rsid w:val="0086670F"/>
    <w:rsid w:val="00897845"/>
    <w:rsid w:val="00920B45"/>
    <w:rsid w:val="009E22EE"/>
    <w:rsid w:val="009E7199"/>
    <w:rsid w:val="009F06B3"/>
    <w:rsid w:val="00A120E0"/>
    <w:rsid w:val="00A17D17"/>
    <w:rsid w:val="00A201DF"/>
    <w:rsid w:val="00A34245"/>
    <w:rsid w:val="00A47E79"/>
    <w:rsid w:val="00A60050"/>
    <w:rsid w:val="00A6014C"/>
    <w:rsid w:val="00A83F00"/>
    <w:rsid w:val="00AA3596"/>
    <w:rsid w:val="00B05169"/>
    <w:rsid w:val="00B406BE"/>
    <w:rsid w:val="00B45FAB"/>
    <w:rsid w:val="00BD7CBD"/>
    <w:rsid w:val="00C013A0"/>
    <w:rsid w:val="00C03F1D"/>
    <w:rsid w:val="00C52510"/>
    <w:rsid w:val="00C842E3"/>
    <w:rsid w:val="00D3211A"/>
    <w:rsid w:val="00D81F0D"/>
    <w:rsid w:val="00D94507"/>
    <w:rsid w:val="00DA0791"/>
    <w:rsid w:val="00DC5755"/>
    <w:rsid w:val="00DF5807"/>
    <w:rsid w:val="00E33DFA"/>
    <w:rsid w:val="00E816EF"/>
    <w:rsid w:val="00E90D11"/>
    <w:rsid w:val="00EC574E"/>
    <w:rsid w:val="00F004D8"/>
    <w:rsid w:val="00F97D5D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51F68"/>
  <w15:docId w15:val="{5A94F20A-E550-4F03-9F7E-C788AA1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10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3" w:right="101" w:hanging="35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3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3D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53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3D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03F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F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1D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E3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C6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C69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70A5"/>
    <w:rPr>
      <w:color w:val="800080" w:themeColor="followedHyperlink"/>
      <w:u w:val="single"/>
    </w:rPr>
  </w:style>
  <w:style w:type="paragraph" w:customStyle="1" w:styleId="Default">
    <w:name w:val="Default"/>
    <w:rsid w:val="00D94507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c@oecd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oec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nergyinnovation@iea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a.blob.core.windows.net/assets/130d8c43-1f81-4eea-8c2d-9e9344f5f4b9/IEA-Privacy-Policy-Visitors-Events-April-2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ea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inwink.com/preview/ministerial-2024_d835bbd3-8672-ee11-9937-6045bd99fe9d/content/c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524d26-11be-426b-9e24-7fc44d68ef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ACD115C5C645B48AEDF8F41AAE36" ma:contentTypeVersion="13" ma:contentTypeDescription="Create a new document." ma:contentTypeScope="" ma:versionID="e50c715cb58c6245e27f6ebe24b627ff">
  <xsd:schema xmlns:xsd="http://www.w3.org/2001/XMLSchema" xmlns:xs="http://www.w3.org/2001/XMLSchema" xmlns:p="http://schemas.microsoft.com/office/2006/metadata/properties" xmlns:ns3="2a21cdf1-fc94-43c2-88c1-40b45c51fe2d" xmlns:ns4="e4524d26-11be-426b-9e24-7fc44d68ef68" targetNamespace="http://schemas.microsoft.com/office/2006/metadata/properties" ma:root="true" ma:fieldsID="0d67c5410c9e18d34a377882029add43" ns3:_="" ns4:_="">
    <xsd:import namespace="2a21cdf1-fc94-43c2-88c1-40b45c51fe2d"/>
    <xsd:import namespace="e4524d26-11be-426b-9e24-7fc44d68ef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cdf1-fc94-43c2-88c1-40b45c51f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24d26-11be-426b-9e24-7fc44d68e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B970-566B-4BFF-94BC-8B0F40C73C9D}">
  <ds:schemaRefs>
    <ds:schemaRef ds:uri="http://schemas.microsoft.com/office/2006/metadata/properties"/>
    <ds:schemaRef ds:uri="http://schemas.microsoft.com/office/infopath/2007/PartnerControls"/>
    <ds:schemaRef ds:uri="e4524d26-11be-426b-9e24-7fc44d68ef68"/>
  </ds:schemaRefs>
</ds:datastoreItem>
</file>

<file path=customXml/itemProps2.xml><?xml version="1.0" encoding="utf-8"?>
<ds:datastoreItem xmlns:ds="http://schemas.openxmlformats.org/officeDocument/2006/customXml" ds:itemID="{FC94A361-CB15-41FD-BA95-F214AD0C3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DD944-92AB-45D8-B0B9-DCB4019BB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1cdf1-fc94-43c2-88c1-40b45c51fe2d"/>
    <ds:schemaRef ds:uri="e4524d26-11be-426b-9e24-7fc44d68e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98DED-D32F-4EA0-9641-E7F14F05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2597</Characters>
  <Application>Microsoft Office Word</Application>
  <DocSecurity>4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OLC</dc:creator>
  <dc:description/>
  <cp:lastModifiedBy>DEELY Brid, IEA/EXD/OMA/CBS</cp:lastModifiedBy>
  <cp:revision>2</cp:revision>
  <dcterms:created xsi:type="dcterms:W3CDTF">2023-12-05T16:36:00Z</dcterms:created>
  <dcterms:modified xsi:type="dcterms:W3CDTF">2023-12-05T16:36:00Z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2023-11-15T00:00:00Z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D:20230509162611</vt:lpwstr>
  </property>
  <property fmtid="{D5CDD505-2E9C-101B-9397-08002B2CF9AE}" pid="7" name="MSIP_Label_b9301b82-1689-49ee-b4b4-71186edd09c0_Enabled">
    <vt:lpwstr>true</vt:lpwstr>
  </property>
  <property fmtid="{D5CDD505-2E9C-101B-9397-08002B2CF9AE}" pid="8" name="MSIP_Label_b9301b82-1689-49ee-b4b4-71186edd09c0_SetDate">
    <vt:lpwstr>2023-11-16T09:57:59Z</vt:lpwstr>
  </property>
  <property fmtid="{D5CDD505-2E9C-101B-9397-08002B2CF9AE}" pid="9" name="MSIP_Label_b9301b82-1689-49ee-b4b4-71186edd09c0_Method">
    <vt:lpwstr>Privileged</vt:lpwstr>
  </property>
  <property fmtid="{D5CDD505-2E9C-101B-9397-08002B2CF9AE}" pid="10" name="MSIP_Label_b9301b82-1689-49ee-b4b4-71186edd09c0_Name">
    <vt:lpwstr>RESTRICTED USE</vt:lpwstr>
  </property>
  <property fmtid="{D5CDD505-2E9C-101B-9397-08002B2CF9AE}" pid="11" name="MSIP_Label_b9301b82-1689-49ee-b4b4-71186edd09c0_SiteId">
    <vt:lpwstr>fe3d9bf9-cec4-4361-8b78-e6f3edbaa3d0</vt:lpwstr>
  </property>
  <property fmtid="{D5CDD505-2E9C-101B-9397-08002B2CF9AE}" pid="12" name="MSIP_Label_b9301b82-1689-49ee-b4b4-71186edd09c0_ActionId">
    <vt:lpwstr>fb68aa4e-6a04-43d8-8676-d446300e4c39</vt:lpwstr>
  </property>
  <property fmtid="{D5CDD505-2E9C-101B-9397-08002B2CF9AE}" pid="13" name="MSIP_Label_b9301b82-1689-49ee-b4b4-71186edd09c0_ContentBits">
    <vt:lpwstr>0</vt:lpwstr>
  </property>
  <property fmtid="{D5CDD505-2E9C-101B-9397-08002B2CF9AE}" pid="14" name="ContentTypeId">
    <vt:lpwstr>0x01010019F3ACD115C5C645B48AEDF8F41AAE36</vt:lpwstr>
  </property>
</Properties>
</file>