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BB" w:rsidRPr="00ED5045" w:rsidRDefault="00296F22" w:rsidP="00ED5045">
      <w:pPr>
        <w:pStyle w:val="Titre"/>
        <w:rPr>
          <w:lang w:eastAsia="fr-FR"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123E5AC" wp14:editId="592EB659">
                <wp:simplePos x="0" y="0"/>
                <wp:positionH relativeFrom="column">
                  <wp:posOffset>607060</wp:posOffset>
                </wp:positionH>
                <wp:positionV relativeFrom="paragraph">
                  <wp:posOffset>797560</wp:posOffset>
                </wp:positionV>
                <wp:extent cx="5670550" cy="9277350"/>
                <wp:effectExtent l="0" t="0" r="6350" b="0"/>
                <wp:wrapTopAndBottom/>
                <wp:docPr id="2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927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B42BB" w:rsidRDefault="00ED5045">
                            <w:pPr>
                              <w:pStyle w:val="Normal1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Offre d’apprentissage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INTITULÉ DE L'OFFRE : </w:t>
                            </w:r>
                            <w:r w:rsid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</w:t>
                            </w:r>
                            <w:r w:rsidR="004E7749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estion</w:t>
                            </w:r>
                            <w:r w:rsid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naire du</w:t>
                            </w:r>
                            <w:r w:rsidR="004E7749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temps de travail et </w:t>
                            </w:r>
                            <w:r w:rsidR="004E7749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suivi médical des agents</w:t>
                            </w: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DIRECTION OU SERVICE 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DILT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SG</w:t>
                            </w:r>
                            <w:r w:rsidR="00875FF8"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/DRH/BAP</w:t>
                            </w: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LIEU D’APPRENTISSAGE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66 boulevard de l’Hôpital 75013 Paris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</w:p>
                          <w:p w:rsidR="00875FF8" w:rsidRPr="00154012" w:rsidRDefault="00ED5045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Descriptif de l'employeur 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012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 xml:space="preserve">La Direction de l’Innovation de la Logistique et des Technologies 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exerce des missions de soutien opérationnel et technique en matière de logistique et d’informatique au bénéfice de tous les services de police et de gendarmerie relavant du 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secrétariat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général pour l’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administration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(SGAMI) d’Il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 de 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France. Au sein de la DILT, du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Secrétariat général et du Département des ressources humaines, le bureau de l’accompagnement des personnels (BAP) a en cha</w:t>
                            </w:r>
                            <w:bookmarkStart w:id="0" w:name="_GoBack"/>
                            <w:bookmarkEnd w:id="0"/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rge le suivi et l’accompagnement de près de 900 personnels (fonctionnaires et agents contractuels) relevant de la fonction publique de l’Etat ou du statut des administrations parisiennes. </w:t>
                            </w:r>
                          </w:p>
                          <w:p w:rsidR="00AB42BB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 BAP est organisé en 2 sections : la section temps de travail, affaires médicales</w:t>
                            </w:r>
                            <w:r w:rsidR="004E7749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et</w:t>
                            </w: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la section formation</w:t>
                            </w:r>
                            <w:r w:rsidR="004E7749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Diplôme minimum requis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71E7" w:rsidRPr="00154012">
                              <w:rPr>
                                <w:rFonts w:ascii="Marianne" w:hAnsi="Marianne"/>
                              </w:rPr>
                              <w:t xml:space="preserve">Bac +2 à Bac +4 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Diplôme préparé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ressources humaines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/ gestion 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Durée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</w:t>
                            </w:r>
                            <w:r w:rsidRPr="00154012">
                              <w:rPr>
                                <w:rFonts w:ascii="Marianne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visionnelle de l</w:t>
                            </w:r>
                            <w:r w:rsidRPr="00154012">
                              <w:rPr>
                                <w:rFonts w:ascii="Marianne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apprentissage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ou 2 ans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étier et famille de métiers :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ressources humaines</w:t>
                            </w:r>
                          </w:p>
                          <w:p w:rsidR="00154012" w:rsidRDefault="00ED5045" w:rsidP="00154012">
                            <w:pPr>
                              <w:spacing w:before="100" w:beforeAutospacing="1" w:after="100" w:afterAutospacing="1"/>
                              <w:rPr>
                                <w:rFonts w:ascii="Marianne" w:hAnsi="Mariann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Descriptif de l'offre 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45448B" w:rsidRPr="00154012"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="00296F22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 xml:space="preserve">Ce poste offre l’opportunité de découvrir le fonctionnement d’une administration et </w:t>
                            </w:r>
                            <w:r w:rsidR="004E7749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F22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>ses enjeux RH. Au fil des missions, vous gagnerez en rigueur, en méthode et en c</w:t>
                            </w:r>
                            <w:r w:rsidR="004E7749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 xml:space="preserve">ompréhension de la réglementation, </w:t>
                            </w:r>
                            <w:r w:rsidR="00296F22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>autant d’atouts précieux pour réussir un concours administratif</w:t>
                            </w:r>
                            <w:r w:rsidR="004E7749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>. Vous serez pleinement impliqué (e)</w:t>
                            </w:r>
                            <w:r w:rsidR="00296F22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>dans le suivi de dossiers sensibles, le déploiement d’outils numériques et en contact direct avec une grande diversité d’acteurs, des ag</w:t>
                            </w:r>
                            <w:r w:rsidR="004E7749" w:rsidRPr="00154012">
                              <w:rPr>
                                <w:rFonts w:ascii="Marianne" w:hAnsi="Marianne" w:cstheme="majorHAnsi"/>
                                <w:sz w:val="20"/>
                                <w:szCs w:val="20"/>
                              </w:rPr>
                              <w:t>ents aux professionnels de soutien</w:t>
                            </w:r>
                            <w:r w:rsidR="00296F22" w:rsidRPr="00154012">
                              <w:rPr>
                                <w:rFonts w:ascii="Marianne" w:hAnsi="Marianne"/>
                              </w:rPr>
                              <w:t>.</w:t>
                            </w:r>
                          </w:p>
                          <w:p w:rsidR="000538A5" w:rsidRPr="00154012" w:rsidRDefault="00ED5045" w:rsidP="00154012">
                            <w:pPr>
                              <w:spacing w:before="100" w:beforeAutospacing="1" w:after="100" w:afterAutospacing="1"/>
                              <w:rPr>
                                <w:rFonts w:ascii="Marianne" w:eastAsia="Times New Roman" w:hAnsi="Marianne" w:cs="Times New Roman"/>
                                <w:kern w:val="0"/>
                                <w:lang w:eastAsia="fr-FR" w:bidi="ar-SA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Missions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0F447C"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Plongé(e) au cœur des ressources humaines, l’apprenti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  <w:r w:rsidR="00BE71E7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accompagnera la gestion du temps de travail, le suivi médical des agents et les relations avec les référents RH</w:t>
                            </w:r>
                            <w:r w:rsidR="00AB495C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Activités principales</w:t>
                            </w:r>
                            <w:r w:rsidRPr="0015401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Temps de travail :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veiller au suivi et au respect de la réglementation en matière de temps de travail</w:t>
                            </w:r>
                          </w:p>
                          <w:p w:rsidR="000F447C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accompagner la mise en place du déploiement de </w:t>
                            </w:r>
                            <w:proofErr w:type="spellStart"/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GesTT</w:t>
                            </w:r>
                            <w:proofErr w:type="spellEnd"/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pour tous les personnels de la DILT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accompagner les « Gestionnaires » de proximité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suivi des indemnités (du contrôle dans l’application jusqu’à la mise en paiement)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Affaires médicales :</w:t>
                            </w:r>
                          </w:p>
                          <w:p w:rsidR="00875FF8" w:rsidRPr="00154012" w:rsidRDefault="00875FF8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 suivi des dossiers médicaux (CMO, BS/SBS, CLM, CLD, </w:t>
                            </w:r>
                            <w:proofErr w:type="spellStart"/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), en lien avec les profes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sionnels de soutien (médecine de prévention</w:t>
                            </w: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médecine statutaire,…)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448B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suivi des visites médicales obligatoires.</w:t>
                            </w: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96F22" w:rsidRPr="00154012" w:rsidRDefault="00154012" w:rsidP="00154012">
                            <w:pPr>
                              <w:pStyle w:val="Normal1"/>
                              <w:jc w:val="both"/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Référents</w:t>
                            </w:r>
                            <w:r w:rsidR="00875FF8" w:rsidRPr="00154012">
                              <w:rPr>
                                <w:rFonts w:ascii="Marianne" w:hAnsi="Marianne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RH de proximité</w:t>
                            </w:r>
                          </w:p>
                          <w:p w:rsidR="00AB42BB" w:rsidRPr="00154012" w:rsidRDefault="00AB42BB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</w:p>
                          <w:p w:rsidR="00AB42BB" w:rsidRPr="00154012" w:rsidRDefault="00ED5045">
                            <w:pPr>
                              <w:pStyle w:val="Normal1"/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Descriptif du profil recherché :</w:t>
                            </w:r>
                          </w:p>
                          <w:p w:rsidR="00AB42BB" w:rsidRPr="00154012" w:rsidRDefault="00154012">
                            <w:pPr>
                              <w:pStyle w:val="Normal1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154012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Intérêt</w:t>
                            </w:r>
                            <w:r w:rsidR="00296F22" w:rsidRPr="00154012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pour les ressources humaines, sens de la rigueur, organisation, confidentialité, aisance relationnelle, esprit d’équipe, maîtrise des outils bureautiques</w:t>
                            </w:r>
                          </w:p>
                          <w:p w:rsidR="00154012" w:rsidRPr="00154012" w:rsidRDefault="00154012">
                            <w:pPr>
                              <w:pStyle w:val="Normal1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:rsidR="00154012" w:rsidRPr="00154012" w:rsidRDefault="00154012" w:rsidP="00154012">
                            <w:pPr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  <w:r w:rsidRPr="00154012">
                              <w:rPr>
                                <w:rFonts w:ascii="Marianne" w:hAnsi="Mariann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Contacts pour renseignements et pour adresser CV + lettre de motivation :</w:t>
                            </w:r>
                          </w:p>
                          <w:p w:rsidR="00154012" w:rsidRPr="00154012" w:rsidRDefault="00154012" w:rsidP="00154012">
                            <w:pPr>
                              <w:jc w:val="center"/>
                              <w:rPr>
                                <w:rFonts w:ascii="Marianne" w:hAnsi="Marianne" w:cstheme="minorBidi"/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Pr="00154012">
                                <w:rPr>
                                  <w:rStyle w:val="Lienhypertexte1"/>
                                  <w:rFonts w:ascii="Marianne" w:hAnsi="Marianne" w:cs="Arial"/>
                                  <w:sz w:val="20"/>
                                  <w:szCs w:val="20"/>
                                </w:rPr>
                                <w:t>pp-dilt-sg-drh-recrutement@interieur.gouv.fr</w:t>
                              </w:r>
                            </w:hyperlink>
                          </w:p>
                          <w:p w:rsidR="00154012" w:rsidRPr="00154012" w:rsidRDefault="00154012">
                            <w:pPr>
                              <w:pStyle w:val="Normal1"/>
                              <w:rPr>
                                <w:rFonts w:ascii="Marianne" w:hAnsi="Marianne"/>
                              </w:rPr>
                            </w:pPr>
                          </w:p>
                          <w:p w:rsidR="00AB42BB" w:rsidRDefault="00AB42BB">
                            <w:pPr>
                              <w:pStyle w:val="Normal1"/>
                              <w:ind w:left="720" w:hanging="354"/>
                              <w:rPr>
                                <w:rFonts w:ascii="Arial" w:hAnsi="Arial" w:cs="Arial"/>
                                <w:strike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</w:pPr>
                          </w:p>
                          <w:p w:rsidR="00AB42BB" w:rsidRDefault="00AB42BB">
                            <w:pPr>
                              <w:pStyle w:val="Normal1"/>
                              <w:ind w:left="720" w:hanging="354"/>
                              <w:rPr>
                                <w:rFonts w:ascii="Arial" w:hAnsi="Arial" w:cs="Arial"/>
                                <w:strike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</w:pPr>
                          </w:p>
                          <w:p w:rsidR="00AB42BB" w:rsidRDefault="00AB42BB">
                            <w:pPr>
                              <w:pStyle w:val="Normal1"/>
                              <w:ind w:left="720" w:hanging="354"/>
                              <w:rPr>
                                <w:rFonts w:ascii="Arial" w:hAnsi="Arial" w:cs="Arial"/>
                                <w:strike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</w:pPr>
                          </w:p>
                          <w:p w:rsidR="00AB42BB" w:rsidRDefault="00AB42BB">
                            <w:pPr>
                              <w:pStyle w:val="Normal1"/>
                              <w:rPr>
                                <w:strike/>
                              </w:rPr>
                            </w:pPr>
                          </w:p>
                          <w:p w:rsidR="00AB42BB" w:rsidRDefault="00AB42BB">
                            <w:pPr>
                              <w:pStyle w:val="Normal1"/>
                            </w:pPr>
                          </w:p>
                          <w:p w:rsidR="00AB42BB" w:rsidRDefault="00AB42BB">
                            <w:pPr>
                              <w:pStyle w:val="Normal1"/>
                            </w:pPr>
                          </w:p>
                          <w:p w:rsidR="00AB42BB" w:rsidRDefault="00ED5045">
                            <w:pPr>
                              <w:pStyle w:val="Normal1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Contacts pour renseignements et pour adresser CV + lettre de motivation :</w:t>
                            </w:r>
                          </w:p>
                          <w:p w:rsidR="00AB42BB" w:rsidRDefault="00ED5045">
                            <w:pPr>
                              <w:pStyle w:val="Normal1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@interieur.gouv.fr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e2" o:spid="_x0000_s1026" type="#_x0000_t202" style="position:absolute;left:0;text-align:left;margin-left:47.8pt;margin-top:62.8pt;width:446.5pt;height:730.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" o:allowincell="f" stroked="f">
                <v:textbox inset="0,0,0,0">
                  <w:txbxContent>
                    <w:p w:rsidR="00AB42BB" w:rsidRDefault="00ED5045">
                      <w:pPr>
                        <w:pStyle w:val="Normal1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72"/>
                          <w:szCs w:val="72"/>
                        </w:rPr>
                        <w:t>Offre d’apprentissage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INTITULÉ DE L'OFFRE : </w:t>
                      </w:r>
                      <w:r w:rsid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G</w:t>
                      </w:r>
                      <w:r w:rsidR="004E7749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estion</w:t>
                      </w:r>
                      <w:r w:rsid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naire du</w:t>
                      </w:r>
                      <w:r w:rsidR="004E7749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temps de travail et </w:t>
                      </w:r>
                      <w:r w:rsidR="004E7749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suivi médical des agents</w:t>
                      </w: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DIRECTION OU SERVICE :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DILT</w:t>
                      </w:r>
                      <w:r w:rsidR="0045448B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/ 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SG</w:t>
                      </w:r>
                      <w:r w:rsidR="00875FF8"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/DRH/BAP</w:t>
                      </w: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LIEU D’APPRENTISSAGE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66 boulevard de l’Hôpital 75013 Paris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</w:rPr>
                      </w:pPr>
                    </w:p>
                    <w:p w:rsidR="00875FF8" w:rsidRPr="00154012" w:rsidRDefault="00ED5045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Descriptif de l'employeur :</w:t>
                      </w:r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54012">
                        <w:rPr>
                          <w:rFonts w:ascii="Marianne" w:hAnsi="Marianne" w:cs="Arial"/>
                          <w:sz w:val="20"/>
                          <w:szCs w:val="20"/>
                        </w:rPr>
                        <w:t xml:space="preserve">La Direction de l’Innovation de la Logistique et des Technologies 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exerce des missions de soutien opérationnel et technique en matière de logistique et d’informatique au bénéfice de tous les services de police et de gendarmerie relavant du 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secrétariat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général pour l’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administration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(SGAMI) d’Il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 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de de 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France. Au sein de la DILT, du</w:t>
                      </w:r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Secrétariat général et du Département des ressources humaines, le bureau de l’accompagnement des personnels (BAP) a en cha</w:t>
                      </w:r>
                      <w:bookmarkStart w:id="1" w:name="_GoBack"/>
                      <w:bookmarkEnd w:id="1"/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rge le suivi et l’accompagnement de près de 900 personnels (fonctionnaires et agents contractuels) relevant de la fonction publique de l’Etat ou du statut des administrations parisiennes. </w:t>
                      </w:r>
                    </w:p>
                    <w:p w:rsidR="00AB42BB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Le BAP est organisé en 2 sections : la section temps de travail, affaires médicales</w:t>
                      </w:r>
                      <w:r w:rsidR="004E7749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et</w:t>
                      </w: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la section formation</w:t>
                      </w:r>
                      <w:r w:rsidR="004E7749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Diplôme minimum requis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E71E7" w:rsidRPr="00154012">
                        <w:rPr>
                          <w:rFonts w:ascii="Marianne" w:hAnsi="Marianne"/>
                        </w:rPr>
                        <w:t xml:space="preserve">Bac +2 à Bac +4 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Diplôme préparé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ressources humaines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/ gestion 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Durée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</w:t>
                      </w:r>
                      <w:r w:rsidRPr="00154012">
                        <w:rPr>
                          <w:rFonts w:ascii="Marianne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>é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visionnelle de l</w:t>
                      </w:r>
                      <w:r w:rsidRPr="00154012">
                        <w:rPr>
                          <w:rFonts w:ascii="Marianne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’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apprentissage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1 ou 2 ans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ap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étier et famille de métiers :</w:t>
                      </w:r>
                      <w:r w:rsidR="00875FF8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ressources humaines</w:t>
                      </w:r>
                    </w:p>
                    <w:p w:rsidR="00154012" w:rsidRDefault="00ED5045" w:rsidP="00154012">
                      <w:pPr>
                        <w:spacing w:before="100" w:beforeAutospacing="1" w:after="100" w:afterAutospacing="1"/>
                        <w:rPr>
                          <w:rFonts w:ascii="Marianne" w:hAnsi="Mariann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Descriptif de l'offre </w:t>
                      </w:r>
                      <w:r w:rsidR="0045448B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45448B" w:rsidRPr="00154012">
                        <w:rPr>
                          <w:rFonts w:ascii="Marianne" w:hAnsi="Marianne"/>
                        </w:rPr>
                        <w:t xml:space="preserve"> </w:t>
                      </w:r>
                      <w:r w:rsidR="00296F22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 xml:space="preserve">Ce poste offre l’opportunité de découvrir le fonctionnement d’une administration et </w:t>
                      </w:r>
                      <w:r w:rsidR="004E7749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 xml:space="preserve"> </w:t>
                      </w:r>
                      <w:r w:rsidR="00296F22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>ses enjeux RH. Au fil des missions, vous gagnerez en rigueur, en méthode et en c</w:t>
                      </w:r>
                      <w:r w:rsidR="004E7749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 xml:space="preserve">ompréhension de la réglementation, </w:t>
                      </w:r>
                      <w:r w:rsidR="00296F22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>autant d’atouts précieux pour réussir un concours administratif</w:t>
                      </w:r>
                      <w:r w:rsidR="004E7749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>. Vous serez pleinement impliqué (e)</w:t>
                      </w:r>
                      <w:r w:rsidR="00296F22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>dans le suivi de dossiers sensibles, le déploiement d’outils numériques et en contact direct avec une grande diversité d’acteurs, des ag</w:t>
                      </w:r>
                      <w:r w:rsidR="004E7749" w:rsidRPr="00154012">
                        <w:rPr>
                          <w:rFonts w:ascii="Marianne" w:hAnsi="Marianne" w:cstheme="majorHAnsi"/>
                          <w:sz w:val="20"/>
                          <w:szCs w:val="20"/>
                        </w:rPr>
                        <w:t>ents aux professionnels de soutien</w:t>
                      </w:r>
                      <w:r w:rsidR="00296F22" w:rsidRPr="00154012">
                        <w:rPr>
                          <w:rFonts w:ascii="Marianne" w:hAnsi="Marianne"/>
                        </w:rPr>
                        <w:t>.</w:t>
                      </w:r>
                    </w:p>
                    <w:p w:rsidR="000538A5" w:rsidRPr="00154012" w:rsidRDefault="00ED5045" w:rsidP="00154012">
                      <w:pPr>
                        <w:spacing w:before="100" w:beforeAutospacing="1" w:after="100" w:afterAutospacing="1"/>
                        <w:rPr>
                          <w:rFonts w:ascii="Marianne" w:eastAsia="Times New Roman" w:hAnsi="Marianne" w:cs="Times New Roman"/>
                          <w:kern w:val="0"/>
                          <w:lang w:eastAsia="fr-FR" w:bidi="ar-SA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Missions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0F447C"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Plongé(e) au cœur des ressources humaines, l’apprenti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(e)</w:t>
                      </w:r>
                      <w:r w:rsidR="00BE71E7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accompagnera la gestion du temps de travail, le suivi médical des agents et les relations avec les référents RH</w:t>
                      </w:r>
                      <w:r w:rsidR="00AB495C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Activités principales</w:t>
                      </w:r>
                      <w:r w:rsidRPr="0015401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Temps de travail :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- veiller au suivi et au respect de la réglementation en matière de temps de travail</w:t>
                      </w:r>
                    </w:p>
                    <w:p w:rsidR="000F447C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accompagner la mise en place du déploiement de </w:t>
                      </w:r>
                      <w:proofErr w:type="spellStart"/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GesTT</w:t>
                      </w:r>
                      <w:proofErr w:type="spellEnd"/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pour tous les personnels de la DILT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- accompagner les « Gestionnaires » de proximité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- suivi des indemnités (du contrôle dans l’application jusqu’à la mise en paiement)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Affaires médicales :</w:t>
                      </w:r>
                    </w:p>
                    <w:p w:rsidR="00875FF8" w:rsidRPr="00154012" w:rsidRDefault="00875FF8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- suivi des dossiers médicaux (CMO, BS/SBS, CLM, CLD, </w:t>
                      </w:r>
                      <w:proofErr w:type="spellStart"/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), en lien avec les profes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sionnels de soutien (médecine de prévention</w:t>
                      </w: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, médecine statutaire,…)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5448B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suivi des visites médicales obligatoires.</w:t>
                      </w: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96F22" w:rsidRPr="00154012" w:rsidRDefault="00154012" w:rsidP="00154012">
                      <w:pPr>
                        <w:pStyle w:val="Normal1"/>
                        <w:jc w:val="both"/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>Référents</w:t>
                      </w:r>
                      <w:r w:rsidR="00875FF8" w:rsidRPr="00154012">
                        <w:rPr>
                          <w:rFonts w:ascii="Marianne" w:hAnsi="Marianne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RH de proximité</w:t>
                      </w:r>
                    </w:p>
                    <w:p w:rsidR="00AB42BB" w:rsidRPr="00154012" w:rsidRDefault="00AB42BB">
                      <w:pPr>
                        <w:pStyle w:val="Normal1"/>
                        <w:rPr>
                          <w:rFonts w:ascii="Marianne" w:hAnsi="Marianne"/>
                        </w:rPr>
                      </w:pPr>
                    </w:p>
                    <w:p w:rsidR="00AB42BB" w:rsidRPr="00154012" w:rsidRDefault="00ED5045">
                      <w:pPr>
                        <w:pStyle w:val="Normal1"/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Descriptif du profil recherché :</w:t>
                      </w:r>
                    </w:p>
                    <w:p w:rsidR="00AB42BB" w:rsidRPr="00154012" w:rsidRDefault="00154012">
                      <w:pPr>
                        <w:pStyle w:val="Normal1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154012">
                        <w:rPr>
                          <w:rFonts w:ascii="Marianne" w:hAnsi="Marianne"/>
                          <w:sz w:val="20"/>
                          <w:szCs w:val="20"/>
                        </w:rPr>
                        <w:t>Intérêt</w:t>
                      </w:r>
                      <w:r w:rsidR="00296F22" w:rsidRPr="00154012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pour les ressources humaines, sens de la rigueur, organisation, confidentialité, aisance relationnelle, esprit d’équipe, maîtrise des outils bureautiques</w:t>
                      </w:r>
                    </w:p>
                    <w:p w:rsidR="00154012" w:rsidRPr="00154012" w:rsidRDefault="00154012">
                      <w:pPr>
                        <w:pStyle w:val="Normal1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:rsidR="00154012" w:rsidRPr="00154012" w:rsidRDefault="00154012" w:rsidP="00154012">
                      <w:pPr>
                        <w:jc w:val="center"/>
                        <w:rPr>
                          <w:rFonts w:ascii="Marianne" w:hAnsi="Marianne" w:cs="Arial"/>
                        </w:rPr>
                      </w:pPr>
                      <w:r w:rsidRPr="00154012">
                        <w:rPr>
                          <w:rFonts w:ascii="Marianne" w:hAnsi="Mariann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Contacts pour renseignements et pour adresser CV + lettre de motivation :</w:t>
                      </w:r>
                    </w:p>
                    <w:p w:rsidR="00154012" w:rsidRPr="00154012" w:rsidRDefault="00154012" w:rsidP="00154012">
                      <w:pPr>
                        <w:jc w:val="center"/>
                        <w:rPr>
                          <w:rFonts w:ascii="Marianne" w:hAnsi="Marianne" w:cstheme="minorBidi"/>
                          <w:sz w:val="22"/>
                          <w:szCs w:val="22"/>
                        </w:rPr>
                      </w:pPr>
                      <w:hyperlink r:id="rId7" w:history="1">
                        <w:r w:rsidRPr="00154012">
                          <w:rPr>
                            <w:rStyle w:val="Lienhypertexte1"/>
                            <w:rFonts w:ascii="Marianne" w:hAnsi="Marianne" w:cs="Arial"/>
                            <w:sz w:val="20"/>
                            <w:szCs w:val="20"/>
                          </w:rPr>
                          <w:t>pp-dilt-sg-drh-recrutement@interieur.gouv.fr</w:t>
                        </w:r>
                      </w:hyperlink>
                    </w:p>
                    <w:p w:rsidR="00154012" w:rsidRPr="00154012" w:rsidRDefault="00154012">
                      <w:pPr>
                        <w:pStyle w:val="Normal1"/>
                        <w:rPr>
                          <w:rFonts w:ascii="Marianne" w:hAnsi="Marianne"/>
                        </w:rPr>
                      </w:pPr>
                    </w:p>
                    <w:p w:rsidR="00AB42BB" w:rsidRDefault="00AB42BB">
                      <w:pPr>
                        <w:pStyle w:val="Normal1"/>
                        <w:ind w:left="720" w:hanging="354"/>
                        <w:rPr>
                          <w:rFonts w:ascii="Arial" w:hAnsi="Arial" w:cs="Arial"/>
                          <w:strike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</w:pPr>
                    </w:p>
                    <w:p w:rsidR="00AB42BB" w:rsidRDefault="00AB42BB">
                      <w:pPr>
                        <w:pStyle w:val="Normal1"/>
                        <w:ind w:left="720" w:hanging="354"/>
                        <w:rPr>
                          <w:rFonts w:ascii="Arial" w:hAnsi="Arial" w:cs="Arial"/>
                          <w:strike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</w:pPr>
                    </w:p>
                    <w:p w:rsidR="00AB42BB" w:rsidRDefault="00AB42BB">
                      <w:pPr>
                        <w:pStyle w:val="Normal1"/>
                        <w:ind w:left="720" w:hanging="354"/>
                        <w:rPr>
                          <w:rFonts w:ascii="Arial" w:hAnsi="Arial" w:cs="Arial"/>
                          <w:strike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</w:pPr>
                    </w:p>
                    <w:p w:rsidR="00AB42BB" w:rsidRDefault="00AB42BB">
                      <w:pPr>
                        <w:pStyle w:val="Normal1"/>
                        <w:rPr>
                          <w:strike/>
                        </w:rPr>
                      </w:pPr>
                    </w:p>
                    <w:p w:rsidR="00AB42BB" w:rsidRDefault="00AB42BB">
                      <w:pPr>
                        <w:pStyle w:val="Normal1"/>
                      </w:pPr>
                    </w:p>
                    <w:p w:rsidR="00AB42BB" w:rsidRDefault="00AB42BB">
                      <w:pPr>
                        <w:pStyle w:val="Normal1"/>
                      </w:pPr>
                    </w:p>
                    <w:p w:rsidR="00AB42BB" w:rsidRDefault="00ED5045">
                      <w:pPr>
                        <w:pStyle w:val="Normal1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Contacts pour renseignements et pour adresser CV + lettre de motivation :</w:t>
                      </w:r>
                    </w:p>
                    <w:p w:rsidR="00AB42BB" w:rsidRDefault="00ED5045">
                      <w:pPr>
                        <w:pStyle w:val="Normal1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@interieur.gouv.fr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D5045">
        <w:rPr>
          <w:noProof/>
          <w:lang w:eastAsia="fr-FR" w:bidi="ar-SA"/>
        </w:rPr>
        <w:drawing>
          <wp:anchor distT="0" distB="0" distL="0" distR="0" simplePos="0" relativeHeight="2" behindDoc="1" locked="0" layoutInCell="1" allowOverlap="1" wp14:anchorId="73CF4257" wp14:editId="7131089A">
            <wp:simplePos x="0" y="0"/>
            <wp:positionH relativeFrom="column">
              <wp:posOffset>600710</wp:posOffset>
            </wp:positionH>
            <wp:positionV relativeFrom="paragraph">
              <wp:posOffset>-487680</wp:posOffset>
            </wp:positionV>
            <wp:extent cx="2009775" cy="115760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42BB" w:rsidRPr="00ED5045">
      <w:pgSz w:w="11906" w:h="16838"/>
      <w:pgMar w:top="964" w:right="964" w:bottom="964" w:left="9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058EA"/>
    <w:multiLevelType w:val="multilevel"/>
    <w:tmpl w:val="C6B6A942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AB42BB"/>
    <w:rsid w:val="000538A5"/>
    <w:rsid w:val="000F447C"/>
    <w:rsid w:val="00154012"/>
    <w:rsid w:val="00296F22"/>
    <w:rsid w:val="002B0149"/>
    <w:rsid w:val="0045448B"/>
    <w:rsid w:val="004E7749"/>
    <w:rsid w:val="00644B3C"/>
    <w:rsid w:val="00823E0C"/>
    <w:rsid w:val="00875FF8"/>
    <w:rsid w:val="008910E3"/>
    <w:rsid w:val="00AB42BB"/>
    <w:rsid w:val="00AB495C"/>
    <w:rsid w:val="00BE71E7"/>
    <w:rsid w:val="00ED5045"/>
    <w:rsid w:val="00F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/>
      <w:outlineLvl w:val="2"/>
    </w:p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/>
      <w:outlineLvl w:val="3"/>
    </w:pPr>
    <w:rPr>
      <w:i/>
      <w:iCs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spacing w:before="120" w:after="60"/>
      <w:outlineLvl w:val="4"/>
    </w:pPr>
  </w:style>
  <w:style w:type="paragraph" w:styleId="Titre6">
    <w:name w:val="heading 6"/>
    <w:basedOn w:val="Titre"/>
    <w:next w:val="Corpsdetexte"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Titre7">
    <w:name w:val="heading 7"/>
    <w:basedOn w:val="Titre"/>
    <w:next w:val="Corpsdetexte"/>
    <w:qFormat/>
    <w:pPr>
      <w:numPr>
        <w:ilvl w:val="6"/>
        <w:numId w:val="1"/>
      </w:numPr>
      <w:spacing w:before="60" w:after="60"/>
      <w:outlineLvl w:val="6"/>
    </w:pPr>
  </w:style>
  <w:style w:type="paragraph" w:styleId="Titre9">
    <w:name w:val="heading 9"/>
    <w:basedOn w:val="Titre"/>
    <w:next w:val="Corpsdetexte"/>
    <w:qFormat/>
    <w:pPr>
      <w:numPr>
        <w:ilvl w:val="8"/>
        <w:numId w:val="1"/>
      </w:numPr>
      <w:spacing w:before="6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character" w:customStyle="1" w:styleId="WWCharLFO1LVL1">
    <w:name w:val="WW_CharLFO1LVL1"/>
    <w:qFormat/>
    <w:rPr>
      <w:rFonts w:ascii="Times New Roman" w:eastAsia="Calibri" w:hAnsi="Times New Roman" w:cs="Calibri"/>
    </w:rPr>
  </w:style>
  <w:style w:type="character" w:customStyle="1" w:styleId="WWCharLFO1LVL2">
    <w:name w:val="WW_CharLFO1LVL2"/>
    <w:qFormat/>
    <w:rPr>
      <w:rFonts w:ascii="Times New Roman" w:hAnsi="Times New Roman" w:cs="Courier New"/>
    </w:rPr>
  </w:style>
  <w:style w:type="character" w:customStyle="1" w:styleId="WWCharLFO1LVL5">
    <w:name w:val="WW_CharLFO1LVL5"/>
    <w:qFormat/>
    <w:rPr>
      <w:rFonts w:ascii="Times New Roman" w:hAnsi="Times New Roman" w:cs="Courier New"/>
    </w:rPr>
  </w:style>
  <w:style w:type="character" w:customStyle="1" w:styleId="WWCharLFO1LVL8">
    <w:name w:val="WW_CharLFO1LVL8"/>
    <w:qFormat/>
    <w:rPr>
      <w:rFonts w:ascii="Times New Roman" w:hAnsi="Times New Roman" w:cs="Courier New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Normal1">
    <w:name w:val="Normal1"/>
    <w:qFormat/>
    <w:pPr>
      <w:suppressAutoHyphens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Titre"/>
    <w:next w:val="Corpsdetexte"/>
    <w:qFormat/>
    <w:pPr>
      <w:spacing w:before="60"/>
    </w:pPr>
    <w:rPr>
      <w:sz w:val="36"/>
      <w:szCs w:val="36"/>
    </w:rPr>
  </w:style>
  <w:style w:type="paragraph" w:customStyle="1" w:styleId="Titre10">
    <w:name w:val="Titre 10"/>
    <w:basedOn w:val="Titre"/>
    <w:next w:val="Corpsdetexte"/>
    <w:qFormat/>
    <w:pPr>
      <w:spacing w:before="60" w:after="60"/>
    </w:pPr>
  </w:style>
  <w:style w:type="paragraph" w:styleId="Paragraphedeliste">
    <w:name w:val="List Paragraph"/>
    <w:basedOn w:val="Normal"/>
    <w:qFormat/>
    <w:pPr>
      <w:spacing w:after="200"/>
      <w:ind w:left="720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1"/>
    <w:qFormat/>
    <w:rPr>
      <w:rFonts w:ascii="Segoe UI" w:hAnsi="Segoe UI" w:cs="Mangal"/>
      <w:sz w:val="18"/>
      <w:szCs w:val="16"/>
    </w:rPr>
  </w:style>
  <w:style w:type="character" w:customStyle="1" w:styleId="Lienhypertexte1">
    <w:name w:val="Lien hypertexte1"/>
    <w:rsid w:val="0015401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/>
      <w:outlineLvl w:val="2"/>
    </w:p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/>
      <w:outlineLvl w:val="3"/>
    </w:pPr>
    <w:rPr>
      <w:i/>
      <w:iCs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spacing w:before="120" w:after="60"/>
      <w:outlineLvl w:val="4"/>
    </w:pPr>
  </w:style>
  <w:style w:type="paragraph" w:styleId="Titre6">
    <w:name w:val="heading 6"/>
    <w:basedOn w:val="Titre"/>
    <w:next w:val="Corpsdetexte"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Titre7">
    <w:name w:val="heading 7"/>
    <w:basedOn w:val="Titre"/>
    <w:next w:val="Corpsdetexte"/>
    <w:qFormat/>
    <w:pPr>
      <w:numPr>
        <w:ilvl w:val="6"/>
        <w:numId w:val="1"/>
      </w:numPr>
      <w:spacing w:before="60" w:after="60"/>
      <w:outlineLvl w:val="6"/>
    </w:pPr>
  </w:style>
  <w:style w:type="paragraph" w:styleId="Titre9">
    <w:name w:val="heading 9"/>
    <w:basedOn w:val="Titre"/>
    <w:next w:val="Corpsdetexte"/>
    <w:qFormat/>
    <w:pPr>
      <w:numPr>
        <w:ilvl w:val="8"/>
        <w:numId w:val="1"/>
      </w:numPr>
      <w:spacing w:before="6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character" w:customStyle="1" w:styleId="WWCharLFO1LVL1">
    <w:name w:val="WW_CharLFO1LVL1"/>
    <w:qFormat/>
    <w:rPr>
      <w:rFonts w:ascii="Times New Roman" w:eastAsia="Calibri" w:hAnsi="Times New Roman" w:cs="Calibri"/>
    </w:rPr>
  </w:style>
  <w:style w:type="character" w:customStyle="1" w:styleId="WWCharLFO1LVL2">
    <w:name w:val="WW_CharLFO1LVL2"/>
    <w:qFormat/>
    <w:rPr>
      <w:rFonts w:ascii="Times New Roman" w:hAnsi="Times New Roman" w:cs="Courier New"/>
    </w:rPr>
  </w:style>
  <w:style w:type="character" w:customStyle="1" w:styleId="WWCharLFO1LVL5">
    <w:name w:val="WW_CharLFO1LVL5"/>
    <w:qFormat/>
    <w:rPr>
      <w:rFonts w:ascii="Times New Roman" w:hAnsi="Times New Roman" w:cs="Courier New"/>
    </w:rPr>
  </w:style>
  <w:style w:type="character" w:customStyle="1" w:styleId="WWCharLFO1LVL8">
    <w:name w:val="WW_CharLFO1LVL8"/>
    <w:qFormat/>
    <w:rPr>
      <w:rFonts w:ascii="Times New Roman" w:hAnsi="Times New Roman" w:cs="Courier New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Normal1">
    <w:name w:val="Normal1"/>
    <w:qFormat/>
    <w:pPr>
      <w:suppressAutoHyphens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Titre"/>
    <w:next w:val="Corpsdetexte"/>
    <w:qFormat/>
    <w:pPr>
      <w:spacing w:before="60"/>
    </w:pPr>
    <w:rPr>
      <w:sz w:val="36"/>
      <w:szCs w:val="36"/>
    </w:rPr>
  </w:style>
  <w:style w:type="paragraph" w:customStyle="1" w:styleId="Titre10">
    <w:name w:val="Titre 10"/>
    <w:basedOn w:val="Titre"/>
    <w:next w:val="Corpsdetexte"/>
    <w:qFormat/>
    <w:pPr>
      <w:spacing w:before="60" w:after="60"/>
    </w:pPr>
  </w:style>
  <w:style w:type="paragraph" w:styleId="Paragraphedeliste">
    <w:name w:val="List Paragraph"/>
    <w:basedOn w:val="Normal"/>
    <w:qFormat/>
    <w:pPr>
      <w:spacing w:after="200"/>
      <w:ind w:left="720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1"/>
    <w:qFormat/>
    <w:rPr>
      <w:rFonts w:ascii="Segoe UI" w:hAnsi="Segoe UI" w:cs="Mangal"/>
      <w:sz w:val="18"/>
      <w:szCs w:val="16"/>
    </w:rPr>
  </w:style>
  <w:style w:type="character" w:customStyle="1" w:styleId="Lienhypertexte1">
    <w:name w:val="Lien hypertexte1"/>
    <w:rsid w:val="001540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p-dilt-sg-drh-recrutement@interieur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-dilt-sg-drh-recrutement@interieur.gouv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DILT / SEIT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CAETANO Sylvie</dc:creator>
  <cp:lastModifiedBy>BROUTA Alicia</cp:lastModifiedBy>
  <cp:revision>2</cp:revision>
  <dcterms:created xsi:type="dcterms:W3CDTF">2025-04-09T12:20:00Z</dcterms:created>
  <dcterms:modified xsi:type="dcterms:W3CDTF">2025-04-09T12:20:00Z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2025-04-07T16:36:02Z</dcterms:created>
  <dc:creator/>
  <dc:description/>
  <dc:language>fr-FR</dc:language>
  <cp:lastModifiedBy/>
  <cp:revision>1</cp:revision>
  <dc:subject/>
  <dc:title/>
</cp:coreProperties>
</file>