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4376054A" w:rsidR="00AC42C9" w:rsidRPr="00855078" w:rsidRDefault="004D10BA" w:rsidP="009E7C60">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C02C76">
        <w:rPr>
          <w:rFonts w:ascii="Aptos" w:eastAsia="Times New Roman" w:hAnsi="Aptos" w:cs="Calibri"/>
          <w:b/>
          <w:bCs/>
          <w:color w:val="002060"/>
          <w:kern w:val="0"/>
          <w:shd w:val="clear" w:color="auto" w:fill="FFFFFF"/>
          <w:lang w:eastAsia="fr-FR"/>
          <w14:ligatures w14:val="none"/>
        </w:rPr>
        <w:t>Chef de Projet Réseaux et Télécom</w:t>
      </w:r>
      <w:r>
        <w:rPr>
          <w:rFonts w:ascii="Aptos" w:eastAsia="Times New Roman" w:hAnsi="Aptos" w:cs="Calibri"/>
          <w:b/>
          <w:bCs/>
          <w:color w:val="002060"/>
          <w:kern w:val="0"/>
          <w:shd w:val="clear" w:color="auto" w:fill="FFFFFF"/>
          <w:lang w:eastAsia="fr-FR"/>
          <w14:ligatures w14:val="none"/>
        </w:rPr>
        <w:t xml:space="preserve"> –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682CF353"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En tant qu'expert reconnu sur le marché des Réseaux d’Initiative Publique (RIP), Covage développe et consolide des Délégations de Service Public (DSP) Fibre to the Office (</w:t>
      </w:r>
      <w:proofErr w:type="spellStart"/>
      <w:r w:rsidRPr="00C02C76">
        <w:rPr>
          <w:rFonts w:ascii="Aptos" w:eastAsia="Times New Roman" w:hAnsi="Aptos" w:cs="Calibri"/>
          <w:color w:val="002060"/>
          <w:kern w:val="0"/>
          <w:sz w:val="20"/>
          <w:szCs w:val="20"/>
          <w:shd w:val="clear" w:color="auto" w:fill="FFFFFF"/>
          <w:lang w:eastAsia="fr-FR"/>
          <w14:ligatures w14:val="none"/>
        </w:rPr>
        <w:t>FttO</w:t>
      </w:r>
      <w:proofErr w:type="spellEnd"/>
      <w:r w:rsidRPr="00C02C76">
        <w:rPr>
          <w:rFonts w:ascii="Aptos" w:eastAsia="Times New Roman" w:hAnsi="Aptos" w:cs="Calibri"/>
          <w:color w:val="002060"/>
          <w:kern w:val="0"/>
          <w:sz w:val="20"/>
          <w:szCs w:val="20"/>
          <w:shd w:val="clear" w:color="auto" w:fill="FFFFFF"/>
          <w:lang w:eastAsia="fr-FR"/>
          <w14:ligatures w14:val="none"/>
        </w:rPr>
        <w:t>), garantissant un haut niveau de qualité et de performance pour accompagner durablement la transformation numérique des territoires.</w:t>
      </w:r>
    </w:p>
    <w:p w14:paraId="1F7FA586"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EFDCE82"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 xml:space="preserve">La DSP </w:t>
      </w:r>
      <w:proofErr w:type="spellStart"/>
      <w:r w:rsidRPr="00C02C76">
        <w:rPr>
          <w:rFonts w:ascii="Aptos" w:eastAsia="Times New Roman" w:hAnsi="Aptos" w:cs="Calibri"/>
          <w:color w:val="002060"/>
          <w:kern w:val="0"/>
          <w:sz w:val="20"/>
          <w:szCs w:val="20"/>
          <w:shd w:val="clear" w:color="auto" w:fill="FFFFFF"/>
          <w:lang w:eastAsia="fr-FR"/>
          <w14:ligatures w14:val="none"/>
        </w:rPr>
        <w:t>Sequantic</w:t>
      </w:r>
      <w:proofErr w:type="spellEnd"/>
      <w:r w:rsidRPr="00C02C76">
        <w:rPr>
          <w:rFonts w:ascii="Aptos" w:eastAsia="Times New Roman" w:hAnsi="Aptos" w:cs="Calibri"/>
          <w:color w:val="002060"/>
          <w:kern w:val="0"/>
          <w:sz w:val="20"/>
          <w:szCs w:val="20"/>
          <w:shd w:val="clear" w:color="auto" w:fill="FFFFFF"/>
          <w:lang w:eastAsia="fr-FR"/>
          <w14:ligatures w14:val="none"/>
        </w:rPr>
        <w:t xml:space="preserve"> Telecom, exploitée par Covage, s'inscrit dans cette dynamique en proposant une infrastructure fibre optique dédiée spécifiquement aux entreprises, administrations et sites économiques stratégiques sur son territoire. Ce réseau ouvert et neutre vise à renforcer l'attractivité économique locale, en assurant un suivi rigoureux des performances et une qualité de service optimale auprès de ses utilisateurs finaux.</w:t>
      </w:r>
    </w:p>
    <w:p w14:paraId="69E84058"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DF95833"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Vos missions seront les suivantes :</w:t>
      </w:r>
    </w:p>
    <w:p w14:paraId="31B9430B"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2B4DBE69" w14:textId="77777777" w:rsidR="00C02C76" w:rsidRPr="00C02C76" w:rsidRDefault="00C02C76" w:rsidP="00C02C76">
      <w:pPr>
        <w:numPr>
          <w:ilvl w:val="0"/>
          <w:numId w:val="1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Accompagnement du Directeur de Délégation de Service Public dans le suivi transverse de la DSP (technique, commercial, financier, etc.)</w:t>
      </w:r>
    </w:p>
    <w:p w14:paraId="608E8B93"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578D608A" w14:textId="77777777" w:rsidR="00C02C76" w:rsidRPr="00C02C76" w:rsidRDefault="00C02C76" w:rsidP="00C02C76">
      <w:pPr>
        <w:numPr>
          <w:ilvl w:val="0"/>
          <w:numId w:val="1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Accompagnement dans la mise en œuvre des évolutions des réseaux Fibre Optique / Radio / xDSL : suivi technique, suivi administratif, accompagnement des usagers, etc.</w:t>
      </w:r>
    </w:p>
    <w:p w14:paraId="65BD7BAD"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13E8B1E" w14:textId="77777777" w:rsidR="00C02C76" w:rsidRPr="00C02C76" w:rsidRDefault="00C02C76" w:rsidP="00C02C76">
      <w:pPr>
        <w:numPr>
          <w:ilvl w:val="0"/>
          <w:numId w:val="18"/>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Expertises Technico-Economiques :</w:t>
      </w:r>
    </w:p>
    <w:p w14:paraId="476BCD9F"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-Elaboration de note stratégique sur l’évolution du réseau</w:t>
      </w:r>
    </w:p>
    <w:p w14:paraId="0DBC30CB"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-Modélisations économiques et financières</w:t>
      </w:r>
    </w:p>
    <w:p w14:paraId="07A8A208"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-Analyses d’opportunités d’investissements</w:t>
      </w:r>
    </w:p>
    <w:p w14:paraId="6B5CCEEA"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27AE82F" w14:textId="77777777" w:rsidR="00C02C76" w:rsidRPr="00C02C76" w:rsidRDefault="00C02C76" w:rsidP="00C02C76">
      <w:pPr>
        <w:numPr>
          <w:ilvl w:val="0"/>
          <w:numId w:val="19"/>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proofErr w:type="spellStart"/>
      <w:r w:rsidRPr="00C02C76">
        <w:rPr>
          <w:rFonts w:ascii="Aptos" w:eastAsia="Times New Roman" w:hAnsi="Aptos" w:cs="Calibri"/>
          <w:color w:val="002060"/>
          <w:kern w:val="0"/>
          <w:sz w:val="20"/>
          <w:szCs w:val="20"/>
          <w:shd w:val="clear" w:color="auto" w:fill="FFFFFF"/>
          <w:lang w:eastAsia="fr-FR"/>
          <w14:ligatures w14:val="none"/>
        </w:rPr>
        <w:t>Reporting</w:t>
      </w:r>
      <w:proofErr w:type="spellEnd"/>
      <w:r w:rsidRPr="00C02C76">
        <w:rPr>
          <w:rFonts w:ascii="Aptos" w:eastAsia="Times New Roman" w:hAnsi="Aptos" w:cs="Calibri"/>
          <w:color w:val="002060"/>
          <w:kern w:val="0"/>
          <w:sz w:val="20"/>
          <w:szCs w:val="20"/>
          <w:shd w:val="clear" w:color="auto" w:fill="FFFFFF"/>
          <w:lang w:eastAsia="fr-FR"/>
          <w14:ligatures w14:val="none"/>
        </w:rPr>
        <w:t xml:space="preserve"> :</w:t>
      </w:r>
    </w:p>
    <w:p w14:paraId="202A329C"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 xml:space="preserve">-Assistance dans l’élaboration des </w:t>
      </w:r>
      <w:proofErr w:type="spellStart"/>
      <w:r w:rsidRPr="00C02C76">
        <w:rPr>
          <w:rFonts w:ascii="Aptos" w:eastAsia="Times New Roman" w:hAnsi="Aptos" w:cs="Calibri"/>
          <w:color w:val="002060"/>
          <w:kern w:val="0"/>
          <w:sz w:val="20"/>
          <w:szCs w:val="20"/>
          <w:shd w:val="clear" w:color="auto" w:fill="FFFFFF"/>
          <w:lang w:eastAsia="fr-FR"/>
          <w14:ligatures w14:val="none"/>
        </w:rPr>
        <w:t>reportings</w:t>
      </w:r>
      <w:proofErr w:type="spellEnd"/>
      <w:r w:rsidRPr="00C02C76">
        <w:rPr>
          <w:rFonts w:ascii="Aptos" w:eastAsia="Times New Roman" w:hAnsi="Aptos" w:cs="Calibri"/>
          <w:color w:val="002060"/>
          <w:kern w:val="0"/>
          <w:sz w:val="20"/>
          <w:szCs w:val="20"/>
          <w:shd w:val="clear" w:color="auto" w:fill="FFFFFF"/>
          <w:lang w:eastAsia="fr-FR"/>
          <w14:ligatures w14:val="none"/>
        </w:rPr>
        <w:t xml:space="preserve"> aux parties prenantes : actionnaires et collectivité locale notamment.</w:t>
      </w:r>
    </w:p>
    <w:p w14:paraId="0DE454DB"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 xml:space="preserve">-Proposition d’évolutions et d’optimisation des processus de </w:t>
      </w:r>
      <w:proofErr w:type="spellStart"/>
      <w:r w:rsidRPr="00C02C76">
        <w:rPr>
          <w:rFonts w:ascii="Aptos" w:eastAsia="Times New Roman" w:hAnsi="Aptos" w:cs="Calibri"/>
          <w:color w:val="002060"/>
          <w:kern w:val="0"/>
          <w:sz w:val="20"/>
          <w:szCs w:val="20"/>
          <w:shd w:val="clear" w:color="auto" w:fill="FFFFFF"/>
          <w:lang w:eastAsia="fr-FR"/>
          <w14:ligatures w14:val="none"/>
        </w:rPr>
        <w:t>reporting</w:t>
      </w:r>
      <w:proofErr w:type="spellEnd"/>
    </w:p>
    <w:p w14:paraId="0B98024B"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19CBB94" w14:textId="77777777" w:rsidR="00C02C76" w:rsidRPr="00C02C76" w:rsidRDefault="00C02C76" w:rsidP="00C02C76">
      <w:pPr>
        <w:numPr>
          <w:ilvl w:val="0"/>
          <w:numId w:val="20"/>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 xml:space="preserve">Mise en œuvre contractuelle : analyses de contrats, assistance à la rédaction de contrats/avenants, </w:t>
      </w:r>
      <w:proofErr w:type="spellStart"/>
      <w:r w:rsidRPr="00C02C76">
        <w:rPr>
          <w:rFonts w:ascii="Aptos" w:eastAsia="Times New Roman" w:hAnsi="Aptos" w:cs="Calibri"/>
          <w:color w:val="002060"/>
          <w:kern w:val="0"/>
          <w:sz w:val="20"/>
          <w:szCs w:val="20"/>
          <w:shd w:val="clear" w:color="auto" w:fill="FFFFFF"/>
          <w:lang w:eastAsia="fr-FR"/>
          <w14:ligatures w14:val="none"/>
        </w:rPr>
        <w:t>etc</w:t>
      </w:r>
      <w:proofErr w:type="spellEnd"/>
    </w:p>
    <w:p w14:paraId="54D50FC8"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CCB3E88" w14:textId="77777777" w:rsidR="00C02C76" w:rsidRPr="00C02C76" w:rsidRDefault="00C02C76" w:rsidP="00C02C76">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02C76">
        <w:rPr>
          <w:rFonts w:ascii="Aptos" w:eastAsia="Times New Roman" w:hAnsi="Aptos" w:cs="Calibri"/>
          <w:color w:val="002060"/>
          <w:kern w:val="0"/>
          <w:sz w:val="20"/>
          <w:szCs w:val="20"/>
          <w:shd w:val="clear" w:color="auto" w:fill="FFFFFF"/>
          <w:lang w:eastAsia="fr-FR"/>
          <w14:ligatures w14:val="none"/>
        </w:rPr>
        <w:t>Des déplacements sur le terrain, en Ile-de-France (Paris et grande couronne parisienne) pourront éventuellement être nécessaires ponctuellement selon l’avancement des projets.</w:t>
      </w:r>
    </w:p>
    <w:p w14:paraId="2EE95CEC" w14:textId="77777777" w:rsidR="004D10BA" w:rsidRPr="00855078" w:rsidRDefault="004D10BA"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27EFBCB3" w14:textId="77777777" w:rsidR="00F971B5" w:rsidRPr="00F971B5" w:rsidRDefault="00F971B5" w:rsidP="00F971B5">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971B5">
        <w:rPr>
          <w:rFonts w:ascii="Aptos" w:eastAsia="Times New Roman" w:hAnsi="Aptos" w:cs="Calibri"/>
          <w:color w:val="002060"/>
          <w:kern w:val="0"/>
          <w:sz w:val="20"/>
          <w:szCs w:val="20"/>
          <w:shd w:val="clear" w:color="auto" w:fill="FFFFFF"/>
          <w:lang w:eastAsia="fr-FR"/>
          <w14:ligatures w14:val="none"/>
        </w:rPr>
        <w:t xml:space="preserve">Etudiant(e) en 2ème ou 3ème année de cycle ingénieur dans le domaine du numérique (avec appétence pour les sujets télécoms/réseaux) ou dernière année d’un BAC + 2 dans le domaine des télécoms, vous disposez de connaissances de base dans le domaine des télécoms/réseaux et en gestion de projets. Vous avez la capacité d’appréhender des sujets techniques et à gérer des projets transverses (techniques, économiques, financiers). Vous maitrisez Excel (tableaux croisés dynamique </w:t>
      </w:r>
      <w:proofErr w:type="spellStart"/>
      <w:r w:rsidRPr="00F971B5">
        <w:rPr>
          <w:rFonts w:ascii="Aptos" w:eastAsia="Times New Roman" w:hAnsi="Aptos" w:cs="Calibri"/>
          <w:color w:val="002060"/>
          <w:kern w:val="0"/>
          <w:sz w:val="20"/>
          <w:szCs w:val="20"/>
          <w:shd w:val="clear" w:color="auto" w:fill="FFFFFF"/>
          <w:lang w:eastAsia="fr-FR"/>
          <w14:ligatures w14:val="none"/>
        </w:rPr>
        <w:t>ect</w:t>
      </w:r>
      <w:proofErr w:type="spellEnd"/>
      <w:r w:rsidRPr="00F971B5">
        <w:rPr>
          <w:rFonts w:ascii="Aptos" w:eastAsia="Times New Roman" w:hAnsi="Aptos" w:cs="Calibri"/>
          <w:color w:val="002060"/>
          <w:kern w:val="0"/>
          <w:sz w:val="20"/>
          <w:szCs w:val="20"/>
          <w:shd w:val="clear" w:color="auto" w:fill="FFFFFF"/>
          <w:lang w:eastAsia="fr-FR"/>
          <w14:ligatures w14:val="none"/>
        </w:rPr>
        <w:t xml:space="preserve">…) et les outils bureautiques plus globalement. Une maitrise du logiciel </w:t>
      </w:r>
      <w:proofErr w:type="spellStart"/>
      <w:r w:rsidRPr="00F971B5">
        <w:rPr>
          <w:rFonts w:ascii="Aptos" w:eastAsia="Times New Roman" w:hAnsi="Aptos" w:cs="Calibri"/>
          <w:color w:val="002060"/>
          <w:kern w:val="0"/>
          <w:sz w:val="20"/>
          <w:szCs w:val="20"/>
          <w:shd w:val="clear" w:color="auto" w:fill="FFFFFF"/>
          <w:lang w:eastAsia="fr-FR"/>
          <w14:ligatures w14:val="none"/>
        </w:rPr>
        <w:t>QGis</w:t>
      </w:r>
      <w:proofErr w:type="spellEnd"/>
      <w:r w:rsidRPr="00F971B5">
        <w:rPr>
          <w:rFonts w:ascii="Aptos" w:eastAsia="Times New Roman" w:hAnsi="Aptos" w:cs="Calibri"/>
          <w:color w:val="002060"/>
          <w:kern w:val="0"/>
          <w:sz w:val="20"/>
          <w:szCs w:val="20"/>
          <w:shd w:val="clear" w:color="auto" w:fill="FFFFFF"/>
          <w:lang w:eastAsia="fr-FR"/>
          <w14:ligatures w14:val="none"/>
        </w:rPr>
        <w:t xml:space="preserve"> serait appréciable.</w:t>
      </w:r>
    </w:p>
    <w:p w14:paraId="3326EA68" w14:textId="77777777" w:rsidR="00F971B5" w:rsidRPr="00F971B5" w:rsidRDefault="00F971B5" w:rsidP="00F971B5">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6FB6747" w14:textId="77777777" w:rsidR="00F971B5" w:rsidRPr="00F971B5" w:rsidRDefault="00F971B5" w:rsidP="00F971B5">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F971B5">
        <w:rPr>
          <w:rFonts w:ascii="Aptos" w:eastAsia="Times New Roman" w:hAnsi="Aptos" w:cs="Calibri"/>
          <w:color w:val="002060"/>
          <w:kern w:val="0"/>
          <w:sz w:val="20"/>
          <w:szCs w:val="20"/>
          <w:shd w:val="clear" w:color="auto" w:fill="FFFFFF"/>
          <w:lang w:eastAsia="fr-FR"/>
          <w14:ligatures w14:val="none"/>
        </w:rPr>
        <w:t>Enfin, vos excellentes compétences en communication écrite et orale, votre sérieux et votre professionnalisme vous permettront d’interagir avec différents interlocuteurs.</w:t>
      </w:r>
    </w:p>
    <w:p w14:paraId="1FF7CEBD" w14:textId="4E4F3510"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C8980DE" w14:textId="147D126B" w:rsidR="0045115D" w:rsidRPr="0048514E" w:rsidRDefault="0039039F" w:rsidP="0048514E">
      <w:pPr>
        <w:pStyle w:val="Paragraphedeliste"/>
        <w:numPr>
          <w:ilvl w:val="0"/>
          <w:numId w:val="1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3 postes à pourvoir à : La Défense, Lyon et Montpellier</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7545" w14:textId="77777777" w:rsidR="00DF4A3C" w:rsidRDefault="00DF4A3C" w:rsidP="00E014E1">
      <w:pPr>
        <w:spacing w:after="0" w:line="240" w:lineRule="auto"/>
      </w:pPr>
      <w:r>
        <w:separator/>
      </w:r>
    </w:p>
  </w:endnote>
  <w:endnote w:type="continuationSeparator" w:id="0">
    <w:p w14:paraId="1079050B" w14:textId="77777777" w:rsidR="00DF4A3C" w:rsidRDefault="00DF4A3C" w:rsidP="00E0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7740" w14:textId="77777777" w:rsidR="00DF4A3C" w:rsidRDefault="00DF4A3C" w:rsidP="00E014E1">
      <w:pPr>
        <w:spacing w:after="0" w:line="240" w:lineRule="auto"/>
      </w:pPr>
      <w:r>
        <w:separator/>
      </w:r>
    </w:p>
  </w:footnote>
  <w:footnote w:type="continuationSeparator" w:id="0">
    <w:p w14:paraId="1CFC3B51" w14:textId="77777777" w:rsidR="00DF4A3C" w:rsidRDefault="00DF4A3C" w:rsidP="00E0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9264"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3" w15:restartNumberingAfterBreak="0">
    <w:nsid w:val="167D69AF"/>
    <w:multiLevelType w:val="multilevel"/>
    <w:tmpl w:val="7A80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71E12"/>
    <w:multiLevelType w:val="multilevel"/>
    <w:tmpl w:val="B2DE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C3AC9"/>
    <w:multiLevelType w:val="multilevel"/>
    <w:tmpl w:val="E0EC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422D1A"/>
    <w:multiLevelType w:val="multilevel"/>
    <w:tmpl w:val="F660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4E47B93"/>
    <w:multiLevelType w:val="multilevel"/>
    <w:tmpl w:val="1044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6"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4"/>
  </w:num>
  <w:num w:numId="2" w16cid:durableId="850872927">
    <w:abstractNumId w:val="19"/>
  </w:num>
  <w:num w:numId="3" w16cid:durableId="1231035497">
    <w:abstractNumId w:val="18"/>
  </w:num>
  <w:num w:numId="4" w16cid:durableId="514345523">
    <w:abstractNumId w:val="0"/>
  </w:num>
  <w:num w:numId="5" w16cid:durableId="1862276435">
    <w:abstractNumId w:val="10"/>
  </w:num>
  <w:num w:numId="6" w16cid:durableId="1337612094">
    <w:abstractNumId w:val="11"/>
  </w:num>
  <w:num w:numId="7" w16cid:durableId="1164054464">
    <w:abstractNumId w:val="2"/>
  </w:num>
  <w:num w:numId="8" w16cid:durableId="865601116">
    <w:abstractNumId w:val="15"/>
  </w:num>
  <w:num w:numId="9" w16cid:durableId="5789974">
    <w:abstractNumId w:val="9"/>
  </w:num>
  <w:num w:numId="10" w16cid:durableId="1252660653">
    <w:abstractNumId w:val="17"/>
  </w:num>
  <w:num w:numId="11" w16cid:durableId="155532569">
    <w:abstractNumId w:val="16"/>
  </w:num>
  <w:num w:numId="12" w16cid:durableId="1538352278">
    <w:abstractNumId w:val="6"/>
  </w:num>
  <w:num w:numId="13" w16cid:durableId="1580410543">
    <w:abstractNumId w:val="12"/>
  </w:num>
  <w:num w:numId="14" w16cid:durableId="1033191038">
    <w:abstractNumId w:val="7"/>
  </w:num>
  <w:num w:numId="15" w16cid:durableId="2124684998">
    <w:abstractNumId w:val="1"/>
  </w:num>
  <w:num w:numId="16" w16cid:durableId="1472670586">
    <w:abstractNumId w:val="13"/>
  </w:num>
  <w:num w:numId="17" w16cid:durableId="1664552974">
    <w:abstractNumId w:val="5"/>
  </w:num>
  <w:num w:numId="18" w16cid:durableId="1538934492">
    <w:abstractNumId w:val="4"/>
  </w:num>
  <w:num w:numId="19" w16cid:durableId="786661077">
    <w:abstractNumId w:val="8"/>
  </w:num>
  <w:num w:numId="20" w16cid:durableId="1244532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E5BA7"/>
    <w:rsid w:val="00126F5D"/>
    <w:rsid w:val="00144DEF"/>
    <w:rsid w:val="001455C1"/>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9039F"/>
    <w:rsid w:val="003B44ED"/>
    <w:rsid w:val="003D6A0E"/>
    <w:rsid w:val="003F0307"/>
    <w:rsid w:val="0041586B"/>
    <w:rsid w:val="00422609"/>
    <w:rsid w:val="0045115D"/>
    <w:rsid w:val="00460830"/>
    <w:rsid w:val="00460D73"/>
    <w:rsid w:val="0048514E"/>
    <w:rsid w:val="004B294C"/>
    <w:rsid w:val="004D10BA"/>
    <w:rsid w:val="004D1E5D"/>
    <w:rsid w:val="004E2797"/>
    <w:rsid w:val="004F3B11"/>
    <w:rsid w:val="00513C5B"/>
    <w:rsid w:val="005908EA"/>
    <w:rsid w:val="00592041"/>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D44BE"/>
    <w:rsid w:val="007E54C0"/>
    <w:rsid w:val="00811A5E"/>
    <w:rsid w:val="00832686"/>
    <w:rsid w:val="00845910"/>
    <w:rsid w:val="00855078"/>
    <w:rsid w:val="00864456"/>
    <w:rsid w:val="008975D0"/>
    <w:rsid w:val="008C4B38"/>
    <w:rsid w:val="009069DE"/>
    <w:rsid w:val="009166F6"/>
    <w:rsid w:val="009554A8"/>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02C76"/>
    <w:rsid w:val="00C93C29"/>
    <w:rsid w:val="00CB5D50"/>
    <w:rsid w:val="00D003A8"/>
    <w:rsid w:val="00D26531"/>
    <w:rsid w:val="00D80F6D"/>
    <w:rsid w:val="00DA3DE5"/>
    <w:rsid w:val="00DF4A3C"/>
    <w:rsid w:val="00DF5B12"/>
    <w:rsid w:val="00E014E1"/>
    <w:rsid w:val="00E03820"/>
    <w:rsid w:val="00E67FB4"/>
    <w:rsid w:val="00E70945"/>
    <w:rsid w:val="00EA7C4D"/>
    <w:rsid w:val="00ED1E03"/>
    <w:rsid w:val="00F211F3"/>
    <w:rsid w:val="00F34201"/>
    <w:rsid w:val="00F7030A"/>
    <w:rsid w:val="00F73B6F"/>
    <w:rsid w:val="00F77871"/>
    <w:rsid w:val="00F971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72238149">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330765230">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48925972">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967205550">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3751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115</cp:revision>
  <dcterms:created xsi:type="dcterms:W3CDTF">2024-03-11T07:08:00Z</dcterms:created>
  <dcterms:modified xsi:type="dcterms:W3CDTF">2025-04-23T08:34:00Z</dcterms:modified>
</cp:coreProperties>
</file>